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5EF6" w14:textId="77777777" w:rsidR="00E25578" w:rsidRDefault="00E25578" w:rsidP="00E25578">
      <w:pPr>
        <w:pStyle w:val="BMJHeading1"/>
      </w:pPr>
      <w:r>
        <w:t>Symptom knowledge and intentions when Ill</w:t>
      </w:r>
    </w:p>
    <w:p w14:paraId="584DBCD6" w14:textId="481DA72A" w:rsidR="00E25578" w:rsidRDefault="00E25578" w:rsidP="00E25578">
      <w:pPr>
        <w:pStyle w:val="BMJHeading3"/>
      </w:pPr>
      <w:r>
        <w:t xml:space="preserve">DHSC Tracker Surveys, </w:t>
      </w:r>
      <w:r w:rsidRPr="00A559B1">
        <w:t xml:space="preserve">Wave </w:t>
      </w:r>
      <w:r w:rsidR="0087499B">
        <w:t>7</w:t>
      </w:r>
      <w:r>
        <w:t>,</w:t>
      </w:r>
      <w:r w:rsidRPr="00A559B1">
        <w:t xml:space="preserve"> </w:t>
      </w:r>
      <w:r w:rsidR="00301EF0">
        <w:t>9-11</w:t>
      </w:r>
      <w:r w:rsidRPr="00A559B1">
        <w:t xml:space="preserve"> March 2020 (n=20</w:t>
      </w:r>
      <w:r>
        <w:t>0</w:t>
      </w:r>
      <w:r w:rsidRPr="00A559B1">
        <w:t>1)</w:t>
      </w:r>
    </w:p>
    <w:p w14:paraId="6A4C2AF0" w14:textId="174DE875" w:rsidR="0087720F" w:rsidRDefault="00DF186B" w:rsidP="00DC0D13">
      <w:r>
        <w:t>18</w:t>
      </w:r>
      <w:r w:rsidRPr="00DF186B">
        <w:rPr>
          <w:vertAlign w:val="superscript"/>
        </w:rPr>
        <w:t>th</w:t>
      </w:r>
      <w:r>
        <w:t xml:space="preserve"> March 2020</w:t>
      </w:r>
    </w:p>
    <w:p w14:paraId="5CE6E8E3" w14:textId="77777777" w:rsidR="00DF186B" w:rsidRDefault="00DF186B" w:rsidP="00DF186B">
      <w:r>
        <w:t>OFFICIAL SENSITIVE, not to be shared beyond SPI-B / SAGE</w:t>
      </w:r>
    </w:p>
    <w:p w14:paraId="22DB94C4" w14:textId="77777777" w:rsidR="00DF186B" w:rsidRPr="00A559B1" w:rsidRDefault="00DF186B" w:rsidP="00DC0D13"/>
    <w:p w14:paraId="26E9FF22" w14:textId="77777777" w:rsidR="0087720F" w:rsidRDefault="0087720F" w:rsidP="0087720F">
      <w:pPr>
        <w:pStyle w:val="BMJHeading3"/>
      </w:pPr>
      <w:r>
        <w:t>Recognition of symptoms</w:t>
      </w:r>
    </w:p>
    <w:p w14:paraId="79ED7E69" w14:textId="77777777" w:rsidR="0087720F" w:rsidRPr="0091486B" w:rsidRDefault="0087720F" w:rsidP="0087720F">
      <w:pPr>
        <w:pStyle w:val="BMJHeading3"/>
        <w:rPr>
          <w:i/>
          <w:iCs/>
        </w:rPr>
      </w:pPr>
      <w:r w:rsidRPr="0091486B">
        <w:rPr>
          <w:i/>
          <w:iCs/>
        </w:rPr>
        <w:t>Recognition of symptoms is limited, but exposure to information is associated with better recognition</w:t>
      </w:r>
    </w:p>
    <w:p w14:paraId="271771CA" w14:textId="6E7231D0" w:rsidR="0087720F" w:rsidRDefault="0087720F" w:rsidP="0087720F">
      <w:pPr>
        <w:pStyle w:val="ListParagraph"/>
        <w:numPr>
          <w:ilvl w:val="0"/>
          <w:numId w:val="5"/>
        </w:numPr>
        <w:spacing w:after="120" w:line="360" w:lineRule="auto"/>
      </w:pPr>
      <w:r>
        <w:t xml:space="preserve">When asked to choose the top four symptoms of coronavirus, </w:t>
      </w:r>
      <w:r w:rsidRPr="002C4AE0">
        <w:rPr>
          <w:color w:val="FF0000"/>
        </w:rPr>
        <w:t>1,</w:t>
      </w:r>
      <w:r w:rsidR="002C4AE0" w:rsidRPr="002C4AE0">
        <w:rPr>
          <w:color w:val="FF0000"/>
        </w:rPr>
        <w:t>224</w:t>
      </w:r>
      <w:r w:rsidRPr="002C4AE0">
        <w:rPr>
          <w:color w:val="FF0000"/>
        </w:rPr>
        <w:t xml:space="preserve"> people (</w:t>
      </w:r>
      <w:r w:rsidR="002C4AE0" w:rsidRPr="002C4AE0">
        <w:rPr>
          <w:color w:val="FF0000"/>
        </w:rPr>
        <w:t>63</w:t>
      </w:r>
      <w:r w:rsidRPr="002C4AE0">
        <w:rPr>
          <w:color w:val="FF0000"/>
        </w:rPr>
        <w:t>%</w:t>
      </w:r>
      <w:r w:rsidR="002C4AE0">
        <w:rPr>
          <w:color w:val="FF0000"/>
        </w:rPr>
        <w:t>, up f</w:t>
      </w:r>
      <w:r w:rsidR="00D80CD3">
        <w:rPr>
          <w:color w:val="FF0000"/>
        </w:rPr>
        <w:t>rom 52%</w:t>
      </w:r>
      <w:r w:rsidRPr="002C4AE0">
        <w:rPr>
          <w:color w:val="FF0000"/>
        </w:rPr>
        <w:t xml:space="preserve">) </w:t>
      </w:r>
      <w:r>
        <w:t xml:space="preserve">identified both cough and high temperature / fever as two of the symptoms (see Table 1). </w:t>
      </w:r>
    </w:p>
    <w:p w14:paraId="49751EBC" w14:textId="1FE1A863" w:rsidR="0087720F" w:rsidRDefault="0087720F" w:rsidP="0087720F">
      <w:pPr>
        <w:pStyle w:val="ListParagraph"/>
        <w:numPr>
          <w:ilvl w:val="0"/>
          <w:numId w:val="5"/>
        </w:numPr>
        <w:spacing w:after="120" w:line="360" w:lineRule="auto"/>
      </w:pPr>
      <w:r>
        <w:t xml:space="preserve">Only </w:t>
      </w:r>
      <w:r w:rsidR="00D80CD3" w:rsidRPr="00320255">
        <w:rPr>
          <w:color w:val="FF0000"/>
        </w:rPr>
        <w:t>10</w:t>
      </w:r>
      <w:r w:rsidRPr="00320255">
        <w:rPr>
          <w:color w:val="FF0000"/>
        </w:rPr>
        <w:t>8 people (</w:t>
      </w:r>
      <w:r w:rsidR="00320255" w:rsidRPr="00320255">
        <w:rPr>
          <w:color w:val="FF0000"/>
        </w:rPr>
        <w:t xml:space="preserve">6%, up from </w:t>
      </w:r>
      <w:r w:rsidRPr="00320255">
        <w:rPr>
          <w:color w:val="FF0000"/>
        </w:rPr>
        <w:t xml:space="preserve">3%) </w:t>
      </w:r>
      <w:r>
        <w:t xml:space="preserve">identified cough, high temperature / fever and either ‘aches and pains’ or ‘pains in your arms, legs or joints.’ </w:t>
      </w:r>
    </w:p>
    <w:p w14:paraId="2F05A586" w14:textId="6D016508" w:rsidR="00797191" w:rsidRPr="00EF3065" w:rsidRDefault="00EF3065" w:rsidP="00EF3065">
      <w:pPr>
        <w:pStyle w:val="ListParagraph"/>
        <w:numPr>
          <w:ilvl w:val="0"/>
          <w:numId w:val="5"/>
        </w:numPr>
        <w:spacing w:after="120" w:line="360" w:lineRule="auto"/>
        <w:ind w:left="714" w:hanging="357"/>
        <w:rPr>
          <w:color w:val="FF0000"/>
        </w:rPr>
      </w:pPr>
      <w:r w:rsidRPr="00EF3065">
        <w:rPr>
          <w:color w:val="FF0000"/>
        </w:rPr>
        <w:t xml:space="preserve">More people identifying high temperature/fever (80% vs 73%); cough (73% vs 66%); </w:t>
      </w:r>
      <w:r w:rsidR="00A9272B">
        <w:rPr>
          <w:color w:val="FF0000"/>
        </w:rPr>
        <w:t xml:space="preserve">and </w:t>
      </w:r>
      <w:r w:rsidRPr="00EF3065">
        <w:rPr>
          <w:color w:val="FF0000"/>
        </w:rPr>
        <w:t>shortness of breath (66% vs 58%)</w:t>
      </w:r>
      <w:r w:rsidR="00A9272B" w:rsidRPr="00A9272B">
        <w:rPr>
          <w:color w:val="FF0000"/>
        </w:rPr>
        <w:t xml:space="preserve"> </w:t>
      </w:r>
      <w:r w:rsidR="00A9272B" w:rsidRPr="00EF3065">
        <w:rPr>
          <w:color w:val="FF0000"/>
        </w:rPr>
        <w:t>as key symptom</w:t>
      </w:r>
      <w:r w:rsidR="00A9272B">
        <w:rPr>
          <w:color w:val="FF0000"/>
        </w:rPr>
        <w:t>s</w:t>
      </w:r>
      <w:r w:rsidR="00A9272B" w:rsidRPr="00EF3065">
        <w:rPr>
          <w:color w:val="FF0000"/>
        </w:rPr>
        <w:t xml:space="preserve"> of coronavirus</w:t>
      </w:r>
      <w:r w:rsidR="00A9272B">
        <w:rPr>
          <w:color w:val="FF0000"/>
        </w:rPr>
        <w:t>.</w:t>
      </w:r>
    </w:p>
    <w:p w14:paraId="35D126EA" w14:textId="06E5EEE1" w:rsidR="00BA3405" w:rsidRPr="00F83330" w:rsidRDefault="0087720F" w:rsidP="0087720F">
      <w:pPr>
        <w:pStyle w:val="ListParagraph"/>
        <w:numPr>
          <w:ilvl w:val="0"/>
          <w:numId w:val="5"/>
        </w:numPr>
        <w:spacing w:after="120" w:line="360" w:lineRule="auto"/>
        <w:rPr>
          <w:color w:val="FF0000"/>
        </w:rPr>
      </w:pPr>
      <w:r>
        <w:t xml:space="preserve">Increased knowledge about coronavirus, having heard more about coronavirus, </w:t>
      </w:r>
      <w:r w:rsidR="00BA3405" w:rsidRPr="00F83330">
        <w:rPr>
          <w:color w:val="FF0000"/>
        </w:rPr>
        <w:t xml:space="preserve">having seen </w:t>
      </w:r>
      <w:r w:rsidR="00F83330" w:rsidRPr="00F83330">
        <w:rPr>
          <w:color w:val="FF0000"/>
        </w:rPr>
        <w:t>recommendations to “catch it, bin it, kill it”</w:t>
      </w:r>
      <w:r w:rsidR="00F83330">
        <w:rPr>
          <w:color w:val="FF0000"/>
        </w:rPr>
        <w:t xml:space="preserve">, </w:t>
      </w:r>
      <w:r w:rsidR="00F83330">
        <w:t xml:space="preserve">and having seen advice on how to protect yourself and others were associated with greater recognition of the combination of high temperature / fever and cough. </w:t>
      </w:r>
    </w:p>
    <w:p w14:paraId="167EE650" w14:textId="3CA20A19" w:rsidR="0087720F" w:rsidRDefault="0087720F" w:rsidP="0087720F">
      <w:pPr>
        <w:pStyle w:val="ListParagraph"/>
        <w:numPr>
          <w:ilvl w:val="0"/>
          <w:numId w:val="5"/>
        </w:numPr>
        <w:spacing w:after="120" w:line="360" w:lineRule="auto"/>
      </w:pPr>
      <w:r>
        <w:t xml:space="preserve">Women and older participants were more likely to recognise the combination of these two symptoms. </w:t>
      </w:r>
      <w:r w:rsidR="001427F4" w:rsidRPr="00862756">
        <w:rPr>
          <w:color w:val="FF0000"/>
        </w:rPr>
        <w:t>L</w:t>
      </w:r>
      <w:r w:rsidR="00012911" w:rsidRPr="00862756">
        <w:rPr>
          <w:color w:val="FF0000"/>
        </w:rPr>
        <w:t>ower</w:t>
      </w:r>
      <w:r w:rsidR="001427F4" w:rsidRPr="00862756">
        <w:rPr>
          <w:color w:val="FF0000"/>
        </w:rPr>
        <w:t xml:space="preserve"> socioeconomic status (3</w:t>
      </w:r>
      <w:r w:rsidR="001427F4" w:rsidRPr="00862756">
        <w:rPr>
          <w:color w:val="FF0000"/>
          <w:vertAlign w:val="superscript"/>
        </w:rPr>
        <w:t>rd</w:t>
      </w:r>
      <w:r w:rsidR="001427F4" w:rsidRPr="00862756">
        <w:rPr>
          <w:color w:val="FF0000"/>
        </w:rPr>
        <w:t xml:space="preserve"> and 4</w:t>
      </w:r>
      <w:r w:rsidR="001427F4" w:rsidRPr="00862756">
        <w:rPr>
          <w:color w:val="FF0000"/>
          <w:vertAlign w:val="superscript"/>
        </w:rPr>
        <w:t>th</w:t>
      </w:r>
      <w:r w:rsidR="001427F4" w:rsidRPr="00862756">
        <w:rPr>
          <w:color w:val="FF0000"/>
        </w:rPr>
        <w:t xml:space="preserve"> most deprived quar</w:t>
      </w:r>
      <w:r w:rsidR="00862756" w:rsidRPr="00862756">
        <w:rPr>
          <w:color w:val="FF0000"/>
        </w:rPr>
        <w:t xml:space="preserve">tiles) </w:t>
      </w:r>
      <w:r w:rsidRPr="00862756">
        <w:rPr>
          <w:color w:val="FF0000"/>
        </w:rPr>
        <w:t>were less likely to recognise these symptoms</w:t>
      </w:r>
      <w:r w:rsidR="00862756" w:rsidRPr="00862756">
        <w:rPr>
          <w:color w:val="FF0000"/>
        </w:rPr>
        <w:t xml:space="preserve"> (cough and high temperature / fever; compared to the least deprived quartile)</w:t>
      </w:r>
      <w:r w:rsidRPr="00862756">
        <w:rPr>
          <w:color w:val="FF0000"/>
        </w:rPr>
        <w:t>.</w:t>
      </w:r>
      <w:r w:rsidR="00012911" w:rsidRPr="00862756">
        <w:rPr>
          <w:color w:val="FF0000"/>
        </w:rPr>
        <w:t xml:space="preserve"> </w:t>
      </w:r>
    </w:p>
    <w:p w14:paraId="1D563C38" w14:textId="77777777" w:rsidR="0087720F" w:rsidRDefault="0087720F" w:rsidP="0087720F">
      <w:pPr>
        <w:pStyle w:val="ListParagraph"/>
        <w:spacing w:line="360" w:lineRule="auto"/>
      </w:pPr>
    </w:p>
    <w:p w14:paraId="1050E9D1" w14:textId="77777777" w:rsidR="0087720F" w:rsidRPr="0091486B" w:rsidRDefault="0087720F" w:rsidP="0087720F">
      <w:pPr>
        <w:pStyle w:val="BMJHeading3"/>
        <w:rPr>
          <w:i/>
          <w:iCs/>
        </w:rPr>
      </w:pPr>
      <w:r w:rsidRPr="0091486B">
        <w:rPr>
          <w:i/>
          <w:iCs/>
        </w:rPr>
        <w:lastRenderedPageBreak/>
        <w:t>Using “flu-like” as a descriptor is ambiguous</w:t>
      </w:r>
    </w:p>
    <w:p w14:paraId="0B26B69E" w14:textId="2CEBDD1F" w:rsidR="0087720F" w:rsidRDefault="0087720F" w:rsidP="0087720F">
      <w:pPr>
        <w:pStyle w:val="ListParagraph"/>
        <w:numPr>
          <w:ilvl w:val="0"/>
          <w:numId w:val="4"/>
        </w:numPr>
        <w:spacing w:after="120" w:line="360" w:lineRule="auto"/>
      </w:pPr>
      <w:r>
        <w:t>People perceive the symptoms of coronavirus and the symptoms of influenza differently. Cough is more commonly associated with coronavirus than influenza (</w:t>
      </w:r>
      <w:r w:rsidR="00993697" w:rsidRPr="00993697">
        <w:rPr>
          <w:color w:val="FF0000"/>
        </w:rPr>
        <w:t xml:space="preserve">73% [up from </w:t>
      </w:r>
      <w:r w:rsidRPr="00993697">
        <w:rPr>
          <w:color w:val="FF0000"/>
        </w:rPr>
        <w:t>66%</w:t>
      </w:r>
      <w:r w:rsidR="00206EEF" w:rsidRPr="00993697">
        <w:rPr>
          <w:color w:val="FF0000"/>
        </w:rPr>
        <w:t>]</w:t>
      </w:r>
      <w:r w:rsidRPr="00993697">
        <w:rPr>
          <w:color w:val="FF0000"/>
        </w:rPr>
        <w:t xml:space="preserve"> </w:t>
      </w:r>
      <w:r>
        <w:t>vs 19%). Fatigue (</w:t>
      </w:r>
      <w:r w:rsidR="00A977D4">
        <w:t xml:space="preserve">6% </w:t>
      </w:r>
      <w:r>
        <w:t xml:space="preserve">vs 25%), headaches (5% vs 40%) and pain in your arms, legs and joints </w:t>
      </w:r>
      <w:r w:rsidRPr="00B93FC8">
        <w:t>(</w:t>
      </w:r>
      <w:r w:rsidR="00E20EE0" w:rsidRPr="00B93FC8">
        <w:t xml:space="preserve">2% </w:t>
      </w:r>
      <w:r>
        <w:t xml:space="preserve">vs 45%) are less commonly associated with coronavirus than influenza. </w:t>
      </w:r>
    </w:p>
    <w:p w14:paraId="67388E02" w14:textId="77777777" w:rsidR="0087720F" w:rsidRDefault="0087720F" w:rsidP="0087720F">
      <w:pPr>
        <w:pStyle w:val="ListParagraph"/>
        <w:numPr>
          <w:ilvl w:val="0"/>
          <w:numId w:val="4"/>
        </w:numPr>
        <w:spacing w:after="120" w:line="360" w:lineRule="auto"/>
      </w:pPr>
      <w:r>
        <w:t xml:space="preserve">In previous research by our group [1], only 62% of the UK public understood that a high temperature or fever is a symptom of influenza, while only 45% identified “pain in your arms, legs or joints.” </w:t>
      </w:r>
    </w:p>
    <w:p w14:paraId="7FACCEEB" w14:textId="7A788CD9" w:rsidR="0087720F" w:rsidRDefault="0087720F" w:rsidP="0087720F">
      <w:pPr>
        <w:pStyle w:val="ListParagraph"/>
        <w:numPr>
          <w:ilvl w:val="0"/>
          <w:numId w:val="4"/>
        </w:numPr>
        <w:spacing w:after="120" w:line="360" w:lineRule="auto"/>
      </w:pPr>
      <w:r>
        <w:t xml:space="preserve">While </w:t>
      </w:r>
      <w:r w:rsidRPr="00E237C7">
        <w:rPr>
          <w:color w:val="FF0000"/>
        </w:rPr>
        <w:t xml:space="preserve">66% of the public in Wave </w:t>
      </w:r>
      <w:r w:rsidR="00E237C7" w:rsidRPr="00E237C7">
        <w:rPr>
          <w:color w:val="FF0000"/>
        </w:rPr>
        <w:t>7 (no difference from Wave 6)</w:t>
      </w:r>
      <w:r>
        <w:t xml:space="preserve"> reported “flu-like symptoms” as one of the top four symptoms of coronavirus, in practice the public do not have a consistent understanding of what “flu-like” means. </w:t>
      </w:r>
    </w:p>
    <w:p w14:paraId="238B18AA" w14:textId="77777777" w:rsidR="0087720F" w:rsidRDefault="0087720F" w:rsidP="0087720F">
      <w:pPr>
        <w:pStyle w:val="ListParagraph"/>
        <w:spacing w:line="360" w:lineRule="auto"/>
      </w:pPr>
    </w:p>
    <w:p w14:paraId="2A3DFF03" w14:textId="77777777" w:rsidR="0087720F" w:rsidRDefault="0087720F" w:rsidP="0087720F">
      <w:pPr>
        <w:pStyle w:val="BMJHeading3"/>
      </w:pPr>
      <w:r>
        <w:t>Avoiding healthcare facilities if ill</w:t>
      </w:r>
    </w:p>
    <w:p w14:paraId="276CD3FC" w14:textId="77777777" w:rsidR="0087720F" w:rsidRPr="0091486B" w:rsidRDefault="0087720F" w:rsidP="0087720F">
      <w:pPr>
        <w:pStyle w:val="BMJHeading3"/>
        <w:rPr>
          <w:i/>
          <w:iCs/>
        </w:rPr>
      </w:pPr>
      <w:r w:rsidRPr="0091486B">
        <w:rPr>
          <w:i/>
          <w:iCs/>
        </w:rPr>
        <w:t xml:space="preserve">Most people know to avoid healthcare facilities if ill, but those who feel most at risk are most likely to break this rule </w:t>
      </w:r>
    </w:p>
    <w:p w14:paraId="150D1F60" w14:textId="42210783" w:rsidR="0087720F" w:rsidRPr="00115C25" w:rsidRDefault="0087720F" w:rsidP="0087720F">
      <w:pPr>
        <w:pStyle w:val="ListParagraph"/>
        <w:numPr>
          <w:ilvl w:val="0"/>
          <w:numId w:val="4"/>
        </w:numPr>
        <w:spacing w:line="360" w:lineRule="auto"/>
        <w:ind w:left="714" w:hanging="357"/>
      </w:pPr>
      <w:r>
        <w:t>When asked what actions they would take if ill with coronavirus, t</w:t>
      </w:r>
      <w:r w:rsidRPr="00754DF4">
        <w:t xml:space="preserve">he </w:t>
      </w:r>
      <w:r>
        <w:t xml:space="preserve">behaviour endorsed by the greatest number of people was calling NHS </w:t>
      </w:r>
      <w:r w:rsidRPr="00115C25">
        <w:t xml:space="preserve">111 </w:t>
      </w:r>
      <w:r w:rsidRPr="000F0973">
        <w:rPr>
          <w:color w:val="FF0000"/>
        </w:rPr>
        <w:t>(n=1,</w:t>
      </w:r>
      <w:r w:rsidR="008E56AB" w:rsidRPr="000F0973">
        <w:rPr>
          <w:color w:val="FF0000"/>
        </w:rPr>
        <w:t>558</w:t>
      </w:r>
      <w:r w:rsidRPr="000F0973">
        <w:rPr>
          <w:color w:val="FF0000"/>
        </w:rPr>
        <w:t xml:space="preserve">, </w:t>
      </w:r>
      <w:r w:rsidR="001805A0" w:rsidRPr="000F0973">
        <w:rPr>
          <w:color w:val="FF0000"/>
        </w:rPr>
        <w:t>7</w:t>
      </w:r>
      <w:r w:rsidR="00195C37">
        <w:rPr>
          <w:color w:val="FF0000"/>
        </w:rPr>
        <w:t>8</w:t>
      </w:r>
      <w:r w:rsidR="000F0973" w:rsidRPr="000F0973">
        <w:rPr>
          <w:color w:val="FF0000"/>
        </w:rPr>
        <w:t xml:space="preserve">% </w:t>
      </w:r>
      <w:r w:rsidR="001805A0" w:rsidRPr="000F0973">
        <w:rPr>
          <w:color w:val="FF0000"/>
        </w:rPr>
        <w:t xml:space="preserve">[up from </w:t>
      </w:r>
      <w:r w:rsidRPr="000F0973">
        <w:rPr>
          <w:color w:val="FF0000"/>
        </w:rPr>
        <w:t>7</w:t>
      </w:r>
      <w:r w:rsidR="00195C37">
        <w:rPr>
          <w:color w:val="FF0000"/>
        </w:rPr>
        <w:t>3</w:t>
      </w:r>
      <w:r w:rsidRPr="000F0973">
        <w:rPr>
          <w:color w:val="FF0000"/>
        </w:rPr>
        <w:t>%</w:t>
      </w:r>
      <w:r w:rsidR="001805A0" w:rsidRPr="000F0973">
        <w:rPr>
          <w:color w:val="FF0000"/>
        </w:rPr>
        <w:t>]</w:t>
      </w:r>
      <w:r>
        <w:t>, see Table 2</w:t>
      </w:r>
      <w:r w:rsidRPr="00115C25">
        <w:t>)</w:t>
      </w:r>
      <w:r>
        <w:t>.</w:t>
      </w:r>
      <w:r w:rsidRPr="00115C25">
        <w:t xml:space="preserve"> </w:t>
      </w:r>
    </w:p>
    <w:p w14:paraId="33795B86" w14:textId="01167032" w:rsidR="0087720F" w:rsidRDefault="0087720F" w:rsidP="0087720F">
      <w:pPr>
        <w:pStyle w:val="ListParagraph"/>
        <w:numPr>
          <w:ilvl w:val="0"/>
          <w:numId w:val="4"/>
        </w:numPr>
        <w:spacing w:line="360" w:lineRule="auto"/>
        <w:ind w:left="714" w:hanging="357"/>
      </w:pPr>
      <w:r>
        <w:t>Among</w:t>
      </w:r>
      <w:r w:rsidRPr="00115C25">
        <w:t xml:space="preserve"> those who would seek to access healthcare in any manner (n=1</w:t>
      </w:r>
      <w:r>
        <w:t>,</w:t>
      </w:r>
      <w:r w:rsidRPr="00115C25">
        <w:t>8</w:t>
      </w:r>
      <w:r w:rsidR="00CA0C16">
        <w:t>60</w:t>
      </w:r>
      <w:r w:rsidRPr="00115C25">
        <w:t>),</w:t>
      </w:r>
      <w:r>
        <w:t xml:space="preserve"> </w:t>
      </w:r>
      <w:r w:rsidR="00195C37" w:rsidRPr="00CA0C16">
        <w:rPr>
          <w:color w:val="FF0000"/>
        </w:rPr>
        <w:t>90% (</w:t>
      </w:r>
      <w:r w:rsidR="000F0973" w:rsidRPr="00CA0C16">
        <w:rPr>
          <w:color w:val="FF0000"/>
        </w:rPr>
        <w:t xml:space="preserve">up from </w:t>
      </w:r>
      <w:r w:rsidRPr="00CA0C16">
        <w:rPr>
          <w:color w:val="FF0000"/>
        </w:rPr>
        <w:t>85%</w:t>
      </w:r>
      <w:r w:rsidR="00195C37" w:rsidRPr="00CA0C16">
        <w:rPr>
          <w:color w:val="FF0000"/>
        </w:rPr>
        <w:t>)</w:t>
      </w:r>
      <w:r w:rsidRPr="00CA0C16">
        <w:rPr>
          <w:color w:val="FF0000"/>
        </w:rPr>
        <w:t xml:space="preserve"> would access healthcare remotely, while 1</w:t>
      </w:r>
      <w:r w:rsidR="00CA0C16" w:rsidRPr="00CA0C16">
        <w:rPr>
          <w:color w:val="FF0000"/>
        </w:rPr>
        <w:t>0</w:t>
      </w:r>
      <w:r w:rsidRPr="00CA0C16">
        <w:rPr>
          <w:color w:val="FF0000"/>
        </w:rPr>
        <w:t>% would do so in person</w:t>
      </w:r>
      <w:r w:rsidR="00CA0C16" w:rsidRPr="00CA0C16">
        <w:rPr>
          <w:color w:val="FF0000"/>
        </w:rPr>
        <w:t xml:space="preserve"> (down from 15%)</w:t>
      </w:r>
      <w:r w:rsidRPr="00CA0C16">
        <w:rPr>
          <w:color w:val="FF0000"/>
        </w:rPr>
        <w:t>.</w:t>
      </w:r>
    </w:p>
    <w:p w14:paraId="51B8FF9E" w14:textId="6D7E7EDE" w:rsidR="0087720F" w:rsidRPr="00FA1D59" w:rsidRDefault="00FA1D59" w:rsidP="0087720F">
      <w:pPr>
        <w:pStyle w:val="ListParagraph"/>
        <w:numPr>
          <w:ilvl w:val="0"/>
          <w:numId w:val="4"/>
        </w:numPr>
        <w:spacing w:line="360" w:lineRule="auto"/>
        <w:rPr>
          <w:color w:val="FF0000"/>
        </w:rPr>
      </w:pPr>
      <w:r w:rsidRPr="00FA1D59">
        <w:rPr>
          <w:color w:val="FF0000"/>
        </w:rPr>
        <w:t>No association between b</w:t>
      </w:r>
      <w:r w:rsidR="0087720F" w:rsidRPr="00FA1D59">
        <w:rPr>
          <w:color w:val="FF0000"/>
        </w:rPr>
        <w:t>eing worried about coronavirus and perceiv</w:t>
      </w:r>
      <w:r w:rsidRPr="00FA1D59">
        <w:rPr>
          <w:color w:val="FF0000"/>
        </w:rPr>
        <w:t>ed</w:t>
      </w:r>
      <w:r w:rsidR="0087720F" w:rsidRPr="00FA1D59">
        <w:rPr>
          <w:color w:val="FF0000"/>
        </w:rPr>
        <w:t xml:space="preserve"> severity of coronavirus </w:t>
      </w:r>
      <w:r w:rsidRPr="00FA1D59">
        <w:rPr>
          <w:color w:val="FF0000"/>
        </w:rPr>
        <w:t>and</w:t>
      </w:r>
      <w:r w:rsidR="0087720F" w:rsidRPr="00FA1D59">
        <w:rPr>
          <w:color w:val="FF0000"/>
        </w:rPr>
        <w:t xml:space="preserve"> being more likely to seek healthcare in person. </w:t>
      </w:r>
    </w:p>
    <w:p w14:paraId="4133255E" w14:textId="72164A61" w:rsidR="0087720F" w:rsidRPr="00750544" w:rsidRDefault="00F350E3" w:rsidP="0087720F">
      <w:pPr>
        <w:pStyle w:val="ListParagraph"/>
        <w:numPr>
          <w:ilvl w:val="0"/>
          <w:numId w:val="4"/>
        </w:numPr>
        <w:spacing w:line="360" w:lineRule="auto"/>
        <w:rPr>
          <w:color w:val="FF0000"/>
        </w:rPr>
      </w:pPr>
      <w:r w:rsidRPr="00750544">
        <w:rPr>
          <w:color w:val="FF0000"/>
        </w:rPr>
        <w:t>C</w:t>
      </w:r>
      <w:r w:rsidR="0087720F" w:rsidRPr="00750544">
        <w:rPr>
          <w:color w:val="FF0000"/>
        </w:rPr>
        <w:t>urrent messaging explains</w:t>
      </w:r>
      <w:r w:rsidRPr="00750544">
        <w:rPr>
          <w:color w:val="FF0000"/>
        </w:rPr>
        <w:t xml:space="preserve"> </w:t>
      </w:r>
      <w:r w:rsidR="0087720F" w:rsidRPr="00750544">
        <w:rPr>
          <w:color w:val="FF0000"/>
        </w:rPr>
        <w:t>that for most people COVID-19 will be a mild illness</w:t>
      </w:r>
      <w:r w:rsidRPr="00750544">
        <w:rPr>
          <w:color w:val="FF0000"/>
        </w:rPr>
        <w:t>. This may</w:t>
      </w:r>
      <w:r w:rsidR="0087720F" w:rsidRPr="00750544">
        <w:rPr>
          <w:color w:val="FF0000"/>
        </w:rPr>
        <w:t xml:space="preserve"> </w:t>
      </w:r>
      <w:r w:rsidR="00187548" w:rsidRPr="00750544">
        <w:rPr>
          <w:color w:val="FF0000"/>
        </w:rPr>
        <w:t xml:space="preserve">be helping to drive the </w:t>
      </w:r>
      <w:r w:rsidR="00CB5644" w:rsidRPr="00750544">
        <w:rPr>
          <w:color w:val="FF0000"/>
        </w:rPr>
        <w:t xml:space="preserve">similar proportions of people who would </w:t>
      </w:r>
      <w:r w:rsidR="0087720F" w:rsidRPr="00750544">
        <w:rPr>
          <w:color w:val="FF0000"/>
        </w:rPr>
        <w:t>feel comfortable contacting health services remotely</w:t>
      </w:r>
      <w:r w:rsidR="000F35DC" w:rsidRPr="00750544">
        <w:rPr>
          <w:color w:val="FF0000"/>
        </w:rPr>
        <w:t xml:space="preserve"> in Wave 7</w:t>
      </w:r>
      <w:r w:rsidR="0087720F" w:rsidRPr="00750544">
        <w:rPr>
          <w:color w:val="FF0000"/>
        </w:rPr>
        <w:t xml:space="preserve">. </w:t>
      </w:r>
      <w:r w:rsidR="002116B0" w:rsidRPr="00750544">
        <w:rPr>
          <w:color w:val="FF0000"/>
        </w:rPr>
        <w:t>However, as these results are different to last week’s</w:t>
      </w:r>
      <w:r w:rsidR="00DF0AF3" w:rsidRPr="00750544">
        <w:rPr>
          <w:color w:val="FF0000"/>
        </w:rPr>
        <w:t xml:space="preserve">, data need to be monitored to </w:t>
      </w:r>
      <w:r w:rsidR="005A51AE" w:rsidRPr="00750544">
        <w:rPr>
          <w:color w:val="FF0000"/>
        </w:rPr>
        <w:t xml:space="preserve">determine </w:t>
      </w:r>
      <w:r w:rsidR="007D161A" w:rsidRPr="00750544">
        <w:rPr>
          <w:color w:val="FF0000"/>
        </w:rPr>
        <w:t xml:space="preserve">the true nature of </w:t>
      </w:r>
      <w:r w:rsidR="007D161A" w:rsidRPr="00750544">
        <w:rPr>
          <w:color w:val="FF0000"/>
        </w:rPr>
        <w:lastRenderedPageBreak/>
        <w:t>the</w:t>
      </w:r>
      <w:r w:rsidR="00DF0AF3" w:rsidRPr="00750544">
        <w:rPr>
          <w:color w:val="FF0000"/>
        </w:rPr>
        <w:t xml:space="preserve"> association </w:t>
      </w:r>
      <w:r w:rsidR="007D161A" w:rsidRPr="00750544">
        <w:rPr>
          <w:color w:val="FF0000"/>
        </w:rPr>
        <w:t xml:space="preserve">(or lack thereof) </w:t>
      </w:r>
      <w:r w:rsidR="00DF0AF3" w:rsidRPr="00750544">
        <w:rPr>
          <w:color w:val="FF0000"/>
        </w:rPr>
        <w:t xml:space="preserve">or </w:t>
      </w:r>
      <w:r w:rsidR="00D452E1" w:rsidRPr="00750544">
        <w:rPr>
          <w:color w:val="FF0000"/>
        </w:rPr>
        <w:t>whether</w:t>
      </w:r>
      <w:r w:rsidR="00DF0AF3" w:rsidRPr="00750544">
        <w:rPr>
          <w:color w:val="FF0000"/>
        </w:rPr>
        <w:t xml:space="preserve"> </w:t>
      </w:r>
      <w:r w:rsidR="00B76FB9" w:rsidRPr="00750544">
        <w:rPr>
          <w:color w:val="FF0000"/>
        </w:rPr>
        <w:t xml:space="preserve">this week’s results reflect fluctuations in the data / sample. </w:t>
      </w:r>
    </w:p>
    <w:p w14:paraId="622D603D" w14:textId="2F6A3800" w:rsidR="0087720F" w:rsidRDefault="0087720F" w:rsidP="0087720F">
      <w:pPr>
        <w:pStyle w:val="ListParagraph"/>
        <w:numPr>
          <w:ilvl w:val="0"/>
          <w:numId w:val="4"/>
        </w:numPr>
        <w:spacing w:line="360" w:lineRule="auto"/>
      </w:pPr>
      <w:r>
        <w:t>Men</w:t>
      </w:r>
      <w:r w:rsidR="001069C0">
        <w:t xml:space="preserve"> and</w:t>
      </w:r>
      <w:r>
        <w:t xml:space="preserve"> younger participants </w:t>
      </w:r>
      <w:r w:rsidR="001069C0">
        <w:t xml:space="preserve">were more likely to seek medical attention in person. </w:t>
      </w:r>
      <w:r w:rsidR="001069C0" w:rsidRPr="001069C0">
        <w:rPr>
          <w:color w:val="FF0000"/>
        </w:rPr>
        <w:t xml:space="preserve">No association with </w:t>
      </w:r>
      <w:r w:rsidRPr="001069C0">
        <w:rPr>
          <w:color w:val="FF0000"/>
        </w:rPr>
        <w:t>ethni</w:t>
      </w:r>
      <w:r w:rsidR="001069C0" w:rsidRPr="001069C0">
        <w:rPr>
          <w:color w:val="FF0000"/>
        </w:rPr>
        <w:t>city in Wave 7</w:t>
      </w:r>
      <w:r w:rsidRPr="001069C0">
        <w:rPr>
          <w:color w:val="FF0000"/>
        </w:rPr>
        <w:t xml:space="preserve">. </w:t>
      </w:r>
    </w:p>
    <w:p w14:paraId="01D1DCE1" w14:textId="77777777" w:rsidR="0087720F" w:rsidRDefault="0087720F" w:rsidP="0087720F">
      <w:pPr>
        <w:pStyle w:val="ListParagraph"/>
        <w:spacing w:line="360" w:lineRule="auto"/>
        <w:ind w:left="714"/>
      </w:pPr>
    </w:p>
    <w:p w14:paraId="6B13599C" w14:textId="77777777" w:rsidR="0087720F" w:rsidRPr="0091486B" w:rsidRDefault="0087720F" w:rsidP="0087720F">
      <w:pPr>
        <w:pStyle w:val="BMJHeading3"/>
        <w:rPr>
          <w:i/>
          <w:iCs/>
        </w:rPr>
      </w:pPr>
      <w:r w:rsidRPr="0091486B">
        <w:rPr>
          <w:i/>
          <w:iCs/>
        </w:rPr>
        <w:t>Messaging is having a positive influence on intentions to seek healthcare remotely</w:t>
      </w:r>
    </w:p>
    <w:p w14:paraId="6061A684" w14:textId="42E4BBEE" w:rsidR="0087720F" w:rsidRDefault="0087720F" w:rsidP="0087720F">
      <w:pPr>
        <w:pStyle w:val="ListParagraph"/>
        <w:numPr>
          <w:ilvl w:val="0"/>
          <w:numId w:val="3"/>
        </w:numPr>
        <w:spacing w:line="360" w:lineRule="auto"/>
      </w:pPr>
      <w:bookmarkStart w:id="0" w:name="_Hlk34742882"/>
      <w:r>
        <w:t>Increased knowledge, correct identification of the symptoms of coronavirus, having seen advice on how to protect oneself and others, having seen the “catch it, bin it, kill it” campaign, and having seen advice on hand washing were all associated with seeking medical attention remotely.</w:t>
      </w:r>
    </w:p>
    <w:p w14:paraId="5C0A649D" w14:textId="3E3BD8C0" w:rsidR="008137BE" w:rsidRDefault="008137BE" w:rsidP="008137BE">
      <w:pPr>
        <w:pStyle w:val="ListParagraph"/>
        <w:numPr>
          <w:ilvl w:val="0"/>
          <w:numId w:val="3"/>
        </w:numPr>
        <w:spacing w:line="360" w:lineRule="auto"/>
      </w:pPr>
      <w:r>
        <w:t xml:space="preserve">However, using official information sources was associated with increased likelihood of trying to access healthcare in person (same as week 6). </w:t>
      </w:r>
    </w:p>
    <w:p w14:paraId="0B746BE4" w14:textId="6F7D5479" w:rsidR="00A97C10" w:rsidRDefault="00A97C10" w:rsidP="0087720F">
      <w:pPr>
        <w:pStyle w:val="ListParagraph"/>
        <w:numPr>
          <w:ilvl w:val="0"/>
          <w:numId w:val="3"/>
        </w:numPr>
        <w:spacing w:line="360" w:lineRule="auto"/>
      </w:pPr>
      <w:r w:rsidRPr="00A330B1">
        <w:rPr>
          <w:color w:val="FF0000"/>
        </w:rPr>
        <w:t xml:space="preserve">No association </w:t>
      </w:r>
      <w:r w:rsidR="00A330B1">
        <w:rPr>
          <w:color w:val="FF0000"/>
        </w:rPr>
        <w:t>between intentions to seek healthcare remotely and</w:t>
      </w:r>
      <w:r w:rsidRPr="00A330B1">
        <w:rPr>
          <w:color w:val="FF0000"/>
        </w:rPr>
        <w:t xml:space="preserve"> having seen or heard more about coronavirus</w:t>
      </w:r>
      <w:r w:rsidR="00A330B1" w:rsidRPr="00A330B1">
        <w:rPr>
          <w:color w:val="FF0000"/>
        </w:rPr>
        <w:t>, using mainstream media as a key source of information about coronavirus,</w:t>
      </w:r>
    </w:p>
    <w:bookmarkEnd w:id="0"/>
    <w:p w14:paraId="1D3DF5A4" w14:textId="77777777" w:rsidR="0087720F" w:rsidRDefault="0087720F" w:rsidP="0087720F">
      <w:pPr>
        <w:pStyle w:val="ListParagraph"/>
        <w:spacing w:line="360" w:lineRule="auto"/>
        <w:ind w:left="714"/>
      </w:pPr>
    </w:p>
    <w:p w14:paraId="6D054654" w14:textId="77777777" w:rsidR="0087720F" w:rsidRDefault="0087720F" w:rsidP="0087720F">
      <w:pPr>
        <w:pStyle w:val="BMJHeading3"/>
      </w:pPr>
      <w:r>
        <w:t>Self-isolating if ill</w:t>
      </w:r>
    </w:p>
    <w:p w14:paraId="7E67F5BB" w14:textId="77777777" w:rsidR="0087720F" w:rsidRPr="0091486B" w:rsidRDefault="0087720F" w:rsidP="0087720F">
      <w:pPr>
        <w:pStyle w:val="BMJHeading3"/>
        <w:rPr>
          <w:i/>
          <w:iCs/>
        </w:rPr>
      </w:pPr>
      <w:r w:rsidRPr="0091486B">
        <w:rPr>
          <w:i/>
          <w:iCs/>
        </w:rPr>
        <w:t>Higher perceived risk is associated with reduced intention to isolate if ill</w:t>
      </w:r>
    </w:p>
    <w:p w14:paraId="754AF274" w14:textId="1B2A0645" w:rsidR="0087720F" w:rsidRPr="005463ED" w:rsidRDefault="0087720F" w:rsidP="0087720F">
      <w:pPr>
        <w:pStyle w:val="ListParagraph"/>
        <w:numPr>
          <w:ilvl w:val="0"/>
          <w:numId w:val="4"/>
        </w:numPr>
        <w:spacing w:line="360" w:lineRule="auto"/>
        <w:ind w:left="714" w:hanging="357"/>
      </w:pPr>
      <w:r>
        <w:t xml:space="preserve">Trying to stay at </w:t>
      </w:r>
      <w:r w:rsidRPr="005463ED">
        <w:t xml:space="preserve">home and avoid contact with other people if ill was intended by </w:t>
      </w:r>
      <w:r w:rsidRPr="00404BA6">
        <w:rPr>
          <w:color w:val="FF0000"/>
        </w:rPr>
        <w:t>1,</w:t>
      </w:r>
      <w:r w:rsidR="00CB0202" w:rsidRPr="00404BA6">
        <w:rPr>
          <w:color w:val="FF0000"/>
        </w:rPr>
        <w:t>308</w:t>
      </w:r>
      <w:r w:rsidRPr="00404BA6">
        <w:rPr>
          <w:color w:val="FF0000"/>
        </w:rPr>
        <w:t xml:space="preserve"> people (</w:t>
      </w:r>
      <w:r w:rsidR="00404BA6" w:rsidRPr="00404BA6">
        <w:rPr>
          <w:color w:val="FF0000"/>
        </w:rPr>
        <w:t xml:space="preserve">65.1%, up from </w:t>
      </w:r>
      <w:r w:rsidRPr="00404BA6">
        <w:rPr>
          <w:color w:val="FF0000"/>
        </w:rPr>
        <w:t xml:space="preserve">60.5%). </w:t>
      </w:r>
      <w:r w:rsidRPr="00DD6E2B">
        <w:rPr>
          <w:color w:val="FF0000"/>
        </w:rPr>
        <w:t xml:space="preserve">Only </w:t>
      </w:r>
      <w:r w:rsidR="00DD6E2B" w:rsidRPr="00DD6E2B">
        <w:rPr>
          <w:color w:val="FF0000"/>
        </w:rPr>
        <w:t xml:space="preserve">1.5% (down from </w:t>
      </w:r>
      <w:r w:rsidRPr="00DD6E2B">
        <w:rPr>
          <w:color w:val="FF0000"/>
        </w:rPr>
        <w:t>2.7%</w:t>
      </w:r>
      <w:r w:rsidR="00DD6E2B" w:rsidRPr="00DD6E2B">
        <w:rPr>
          <w:color w:val="FF0000"/>
        </w:rPr>
        <w:t>)</w:t>
      </w:r>
      <w:r w:rsidRPr="00DD6E2B">
        <w:rPr>
          <w:color w:val="FF0000"/>
        </w:rPr>
        <w:t xml:space="preserve"> would try to go to work as usual. </w:t>
      </w:r>
    </w:p>
    <w:p w14:paraId="2DCF224A" w14:textId="0CF322D9" w:rsidR="009D00EA" w:rsidRDefault="009D00EA" w:rsidP="0087720F">
      <w:pPr>
        <w:pStyle w:val="ListParagraph"/>
        <w:numPr>
          <w:ilvl w:val="0"/>
          <w:numId w:val="6"/>
        </w:numPr>
        <w:spacing w:line="360" w:lineRule="auto"/>
      </w:pPr>
      <w:bookmarkStart w:id="1" w:name="_Hlk34767294"/>
      <w:r w:rsidRPr="004C12F6">
        <w:rPr>
          <w:color w:val="FF0000"/>
        </w:rPr>
        <w:t xml:space="preserve">Increased worry was associated with </w:t>
      </w:r>
      <w:r w:rsidRPr="006F30CC">
        <w:rPr>
          <w:color w:val="FF0000"/>
        </w:rPr>
        <w:t>not</w:t>
      </w:r>
      <w:r w:rsidRPr="004C12F6">
        <w:rPr>
          <w:i/>
          <w:iCs/>
          <w:color w:val="FF0000"/>
        </w:rPr>
        <w:t xml:space="preserve"> </w:t>
      </w:r>
      <w:r w:rsidRPr="004C12F6">
        <w:rPr>
          <w:color w:val="FF0000"/>
        </w:rPr>
        <w:t xml:space="preserve">trying to stay at home and </w:t>
      </w:r>
      <w:r w:rsidR="004C12F6" w:rsidRPr="004C12F6">
        <w:rPr>
          <w:color w:val="FF0000"/>
        </w:rPr>
        <w:t>avoid contact with others.</w:t>
      </w:r>
      <w:r w:rsidR="00462575">
        <w:rPr>
          <w:color w:val="FF0000"/>
        </w:rPr>
        <w:t xml:space="preserve"> There </w:t>
      </w:r>
      <w:r w:rsidR="00945BCB">
        <w:rPr>
          <w:color w:val="FF0000"/>
        </w:rPr>
        <w:t>were</w:t>
      </w:r>
      <w:r w:rsidR="00462575">
        <w:rPr>
          <w:color w:val="FF0000"/>
        </w:rPr>
        <w:t xml:space="preserve"> no associations between trying to stay at home and increased perceived risk, severity or likelihood of catching coronavirus. </w:t>
      </w:r>
    </w:p>
    <w:p w14:paraId="7037B479" w14:textId="15B6BEA4" w:rsidR="0087720F" w:rsidRPr="005463ED" w:rsidRDefault="00344A2F" w:rsidP="0087720F">
      <w:pPr>
        <w:pStyle w:val="ListParagraph"/>
        <w:numPr>
          <w:ilvl w:val="0"/>
          <w:numId w:val="6"/>
        </w:numPr>
        <w:spacing w:line="360" w:lineRule="auto"/>
      </w:pPr>
      <w:bookmarkStart w:id="2" w:name="_Hlk34767833"/>
      <w:bookmarkEnd w:id="1"/>
      <w:r>
        <w:t>O</w:t>
      </w:r>
      <w:r w:rsidR="0087720F" w:rsidRPr="005463ED">
        <w:t>lder participants</w:t>
      </w:r>
      <w:r w:rsidR="005F26A3">
        <w:t xml:space="preserve"> and </w:t>
      </w:r>
      <w:r w:rsidR="0087720F" w:rsidRPr="005F26A3">
        <w:rPr>
          <w:color w:val="FF0000"/>
        </w:rPr>
        <w:t xml:space="preserve">those </w:t>
      </w:r>
      <w:r w:rsidR="005F26A3" w:rsidRPr="005F26A3">
        <w:rPr>
          <w:color w:val="FF0000"/>
        </w:rPr>
        <w:t xml:space="preserve">who have someone </w:t>
      </w:r>
      <w:r w:rsidR="0087720F" w:rsidRPr="005F26A3">
        <w:rPr>
          <w:color w:val="FF0000"/>
        </w:rPr>
        <w:t xml:space="preserve">with a chronic illness </w:t>
      </w:r>
      <w:r w:rsidR="005F26A3" w:rsidRPr="005F26A3">
        <w:rPr>
          <w:color w:val="FF0000"/>
        </w:rPr>
        <w:t xml:space="preserve">in their household </w:t>
      </w:r>
      <w:r w:rsidR="0087720F" w:rsidRPr="005463ED">
        <w:t>were more likely to try to stay at home and avoid contact with others.</w:t>
      </w:r>
      <w:r w:rsidR="003C42FC">
        <w:t xml:space="preserve"> </w:t>
      </w:r>
      <w:r w:rsidR="003C42FC" w:rsidRPr="003C42FC">
        <w:rPr>
          <w:color w:val="FF0000"/>
        </w:rPr>
        <w:t>There was no association with gender or having a chronic illness</w:t>
      </w:r>
      <w:r>
        <w:rPr>
          <w:color w:val="FF0000"/>
        </w:rPr>
        <w:t xml:space="preserve"> (self)</w:t>
      </w:r>
      <w:r w:rsidR="003C42FC" w:rsidRPr="003C42FC">
        <w:rPr>
          <w:color w:val="FF0000"/>
        </w:rPr>
        <w:t xml:space="preserve"> in this wave. </w:t>
      </w:r>
    </w:p>
    <w:p w14:paraId="24138915" w14:textId="1DC02341" w:rsidR="0087720F" w:rsidRPr="00750544" w:rsidRDefault="008D6CDD" w:rsidP="0087720F">
      <w:pPr>
        <w:pStyle w:val="ListParagraph"/>
        <w:numPr>
          <w:ilvl w:val="0"/>
          <w:numId w:val="6"/>
        </w:numPr>
        <w:spacing w:line="360" w:lineRule="auto"/>
        <w:rPr>
          <w:color w:val="FF0000"/>
        </w:rPr>
      </w:pPr>
      <w:r w:rsidRPr="00750544">
        <w:rPr>
          <w:color w:val="FF0000"/>
        </w:rPr>
        <w:lastRenderedPageBreak/>
        <w:t xml:space="preserve">While this week’s data suggest those who subjectively feel more at risk </w:t>
      </w:r>
      <w:r w:rsidR="00775B5D" w:rsidRPr="00750544">
        <w:rPr>
          <w:color w:val="FF0000"/>
        </w:rPr>
        <w:t xml:space="preserve">may feel able to </w:t>
      </w:r>
      <w:r w:rsidR="00B96029" w:rsidRPr="00750544">
        <w:rPr>
          <w:color w:val="FF0000"/>
        </w:rPr>
        <w:t xml:space="preserve">access adequate support during self-isolation, </w:t>
      </w:r>
      <w:r w:rsidR="0087499B" w:rsidRPr="00750544">
        <w:rPr>
          <w:color w:val="FF0000"/>
        </w:rPr>
        <w:t>a</w:t>
      </w:r>
      <w:r w:rsidR="0087720F" w:rsidRPr="00750544">
        <w:rPr>
          <w:color w:val="FF0000"/>
        </w:rPr>
        <w:t>ttention may be needed to ensur</w:t>
      </w:r>
      <w:r w:rsidR="0087499B" w:rsidRPr="00750544">
        <w:rPr>
          <w:color w:val="FF0000"/>
        </w:rPr>
        <w:t xml:space="preserve">e </w:t>
      </w:r>
      <w:r w:rsidR="0087720F" w:rsidRPr="00750544">
        <w:rPr>
          <w:color w:val="FF0000"/>
        </w:rPr>
        <w:t xml:space="preserve">that those who feel </w:t>
      </w:r>
      <w:r w:rsidR="0087499B" w:rsidRPr="00750544">
        <w:rPr>
          <w:color w:val="FF0000"/>
        </w:rPr>
        <w:t xml:space="preserve">more worried about coronavirus </w:t>
      </w:r>
      <w:r w:rsidR="0087720F" w:rsidRPr="00750544">
        <w:rPr>
          <w:color w:val="FF0000"/>
        </w:rPr>
        <w:t xml:space="preserve">are reassured that they will be able to access adequate help and support while in isolation, reducing their need for them to break isolation protocols.  </w:t>
      </w:r>
    </w:p>
    <w:bookmarkEnd w:id="2"/>
    <w:p w14:paraId="1C7EBFAD" w14:textId="77777777" w:rsidR="0087720F" w:rsidRDefault="0087720F" w:rsidP="0087720F">
      <w:pPr>
        <w:pStyle w:val="ListParagraph"/>
        <w:spacing w:line="360" w:lineRule="auto"/>
      </w:pPr>
    </w:p>
    <w:p w14:paraId="458C098B" w14:textId="77777777" w:rsidR="0087720F" w:rsidRPr="0091486B" w:rsidRDefault="0087720F" w:rsidP="0087720F">
      <w:pPr>
        <w:pStyle w:val="BMJHeading3"/>
        <w:rPr>
          <w:i/>
          <w:iCs/>
        </w:rPr>
      </w:pPr>
      <w:r w:rsidRPr="0091486B">
        <w:rPr>
          <w:i/>
          <w:iCs/>
        </w:rPr>
        <w:t>Messaging is having a positive influence on intentions to self-isolate if ill</w:t>
      </w:r>
    </w:p>
    <w:p w14:paraId="2856EE18" w14:textId="063C25A1" w:rsidR="0087720F" w:rsidRDefault="0087720F" w:rsidP="0087720F">
      <w:pPr>
        <w:pStyle w:val="ListParagraph"/>
        <w:numPr>
          <w:ilvl w:val="0"/>
          <w:numId w:val="4"/>
        </w:numPr>
        <w:spacing w:line="360" w:lineRule="auto"/>
      </w:pPr>
      <w:r w:rsidRPr="00BF5247">
        <w:t xml:space="preserve">Increased knowledge </w:t>
      </w:r>
      <w:r>
        <w:t>about coronavirus, having heard more about coronavirus,</w:t>
      </w:r>
      <w:r w:rsidR="008646C6" w:rsidRPr="008646C6">
        <w:rPr>
          <w:color w:val="FF0000"/>
        </w:rPr>
        <w:t xml:space="preserve"> using unofficial sources (social media, search engines, and friends and family) as a key information source,</w:t>
      </w:r>
      <w:r>
        <w:t xml:space="preserve"> having seen advice on how to protect oneself and others</w:t>
      </w:r>
      <w:r w:rsidR="00D7068D">
        <w:t xml:space="preserve">, </w:t>
      </w:r>
      <w:r w:rsidR="00D7068D" w:rsidRPr="00D7068D">
        <w:rPr>
          <w:color w:val="FF0000"/>
        </w:rPr>
        <w:t>and having seen advice on handwashing</w:t>
      </w:r>
      <w:r>
        <w:t xml:space="preserve"> were associated with trying to stay at home and avoid contact with others if ill.</w:t>
      </w:r>
    </w:p>
    <w:p w14:paraId="7F0C182B" w14:textId="288863B9" w:rsidR="0087720F" w:rsidRPr="00627C1E" w:rsidRDefault="00D7068D" w:rsidP="00627C1E">
      <w:pPr>
        <w:pStyle w:val="ListParagraph"/>
        <w:numPr>
          <w:ilvl w:val="0"/>
          <w:numId w:val="4"/>
        </w:numPr>
        <w:spacing w:line="360" w:lineRule="auto"/>
        <w:rPr>
          <w:color w:val="FF0000"/>
        </w:rPr>
      </w:pPr>
      <w:r>
        <w:rPr>
          <w:color w:val="FF0000"/>
        </w:rPr>
        <w:t xml:space="preserve">There was no </w:t>
      </w:r>
      <w:r w:rsidR="006F4920" w:rsidRPr="008D36AA">
        <w:rPr>
          <w:color w:val="FF0000"/>
        </w:rPr>
        <w:t xml:space="preserve">association with </w:t>
      </w:r>
      <w:r w:rsidR="008D36AA" w:rsidRPr="008D36AA">
        <w:rPr>
          <w:color w:val="FF0000"/>
        </w:rPr>
        <w:t xml:space="preserve">using </w:t>
      </w:r>
      <w:r w:rsidR="00EE5E6C">
        <w:rPr>
          <w:color w:val="FF0000"/>
        </w:rPr>
        <w:t xml:space="preserve">official information sources or </w:t>
      </w:r>
      <w:r w:rsidR="008D36AA" w:rsidRPr="008D36AA">
        <w:rPr>
          <w:color w:val="FF0000"/>
        </w:rPr>
        <w:t>mainstream media as a key information source</w:t>
      </w:r>
      <w:r>
        <w:rPr>
          <w:color w:val="FF0000"/>
        </w:rPr>
        <w:t xml:space="preserve"> in Wave 7.</w:t>
      </w:r>
    </w:p>
    <w:p w14:paraId="0E0820D6" w14:textId="77777777" w:rsidR="0087720F" w:rsidRDefault="0087720F" w:rsidP="0087720F">
      <w:pPr>
        <w:pStyle w:val="ListParagraph"/>
      </w:pPr>
    </w:p>
    <w:p w14:paraId="68E064EB" w14:textId="77777777" w:rsidR="0087720F" w:rsidRDefault="0087720F" w:rsidP="0087720F">
      <w:pPr>
        <w:pStyle w:val="BMJHeading3"/>
      </w:pPr>
      <w:r>
        <w:t>References</w:t>
      </w:r>
    </w:p>
    <w:p w14:paraId="038C6789" w14:textId="77777777" w:rsidR="0087720F" w:rsidRDefault="0087720F" w:rsidP="0087720F">
      <w:pPr>
        <w:pStyle w:val="ListParagraph"/>
        <w:numPr>
          <w:ilvl w:val="0"/>
          <w:numId w:val="7"/>
        </w:numPr>
        <w:spacing w:after="120"/>
      </w:pPr>
      <w:r w:rsidRPr="00383521">
        <w:t>Rubin GJ,</w:t>
      </w:r>
      <w:r w:rsidRPr="00BA12F1">
        <w:t xml:space="preserve"> </w:t>
      </w:r>
      <w:proofErr w:type="spellStart"/>
      <w:r w:rsidRPr="00BA12F1">
        <w:t>Bakhshi</w:t>
      </w:r>
      <w:proofErr w:type="spellEnd"/>
      <w:r w:rsidRPr="00BA12F1">
        <w:t xml:space="preserve"> S, Amlot R, Fear N, Potts HWW, Michie S. </w:t>
      </w:r>
      <w:hyperlink r:id="rId10" w:history="1">
        <w:r w:rsidRPr="00383521">
          <w:rPr>
            <w:rStyle w:val="Hyperlink"/>
            <w:rFonts w:eastAsiaTheme="majorEastAsia"/>
            <w:sz w:val="22"/>
          </w:rPr>
          <w:t>The design of a survey questionnaire to measure perceptions and behaviour during an influenza pandemic: the Flu Telephone Survey Template (</w:t>
        </w:r>
        <w:proofErr w:type="spellStart"/>
        <w:r w:rsidRPr="00383521">
          <w:rPr>
            <w:rStyle w:val="Hyperlink"/>
            <w:rFonts w:eastAsiaTheme="majorEastAsia"/>
            <w:sz w:val="22"/>
          </w:rPr>
          <w:t>FluTEST</w:t>
        </w:r>
        <w:proofErr w:type="spellEnd"/>
        <w:r w:rsidRPr="00383521">
          <w:rPr>
            <w:rStyle w:val="Hyperlink"/>
            <w:rFonts w:eastAsiaTheme="majorEastAsia"/>
            <w:sz w:val="22"/>
          </w:rPr>
          <w:t>).</w:t>
        </w:r>
      </w:hyperlink>
      <w:r w:rsidRPr="00BA12F1">
        <w:t xml:space="preserve"> Health Services and Delivery Research. 2014;2(41): 1-125. </w:t>
      </w:r>
      <w:proofErr w:type="spellStart"/>
      <w:r w:rsidRPr="00BA12F1">
        <w:t>doi</w:t>
      </w:r>
      <w:proofErr w:type="spellEnd"/>
      <w:r w:rsidRPr="00BA12F1">
        <w:t>: 10.3310/hsdr02410</w:t>
      </w:r>
    </w:p>
    <w:p w14:paraId="3C6CB648" w14:textId="77777777" w:rsidR="0087720F" w:rsidRPr="00BA12F1" w:rsidRDefault="0087720F" w:rsidP="0087720F">
      <w:pPr>
        <w:pStyle w:val="ListParagraph"/>
      </w:pPr>
    </w:p>
    <w:p w14:paraId="53EAB8BF" w14:textId="77777777" w:rsidR="00627C1E" w:rsidRDefault="00627C1E">
      <w:pPr>
        <w:spacing w:after="160" w:line="259" w:lineRule="auto"/>
      </w:pPr>
      <w:r>
        <w:br w:type="page"/>
      </w:r>
    </w:p>
    <w:p w14:paraId="532FBB2D" w14:textId="339AC7AB" w:rsidR="007D0137" w:rsidRDefault="007D0137" w:rsidP="007D0137">
      <w:r>
        <w:lastRenderedPageBreak/>
        <w:t xml:space="preserve">Table </w:t>
      </w:r>
      <w:r w:rsidR="00E237C7">
        <w:t>1. P</w:t>
      </w:r>
      <w:r>
        <w:t>roportion of participants endorsing symptoms of coronavirus.</w:t>
      </w:r>
    </w:p>
    <w:tbl>
      <w:tblPr>
        <w:tblStyle w:val="TableGrid"/>
        <w:tblW w:w="0" w:type="auto"/>
        <w:tblLook w:val="04A0" w:firstRow="1" w:lastRow="0" w:firstColumn="1" w:lastColumn="0" w:noHBand="0" w:noVBand="1"/>
      </w:tblPr>
      <w:tblGrid>
        <w:gridCol w:w="4508"/>
        <w:gridCol w:w="4508"/>
      </w:tblGrid>
      <w:tr w:rsidR="007D0137" w14:paraId="33E96760" w14:textId="77777777" w:rsidTr="00DF186B">
        <w:tc>
          <w:tcPr>
            <w:tcW w:w="4508" w:type="dxa"/>
            <w:tcBorders>
              <w:top w:val="single" w:sz="12" w:space="0" w:color="auto"/>
              <w:left w:val="nil"/>
              <w:bottom w:val="single" w:sz="12" w:space="0" w:color="auto"/>
              <w:right w:val="nil"/>
            </w:tcBorders>
          </w:tcPr>
          <w:p w14:paraId="692C88AF" w14:textId="77777777" w:rsidR="007D0137" w:rsidRDefault="007D0137" w:rsidP="00DF186B">
            <w:pPr>
              <w:spacing w:after="0" w:line="240" w:lineRule="auto"/>
            </w:pPr>
            <w:r>
              <w:t>Symptom</w:t>
            </w:r>
          </w:p>
        </w:tc>
        <w:tc>
          <w:tcPr>
            <w:tcW w:w="4508" w:type="dxa"/>
            <w:tcBorders>
              <w:top w:val="single" w:sz="12" w:space="0" w:color="auto"/>
              <w:left w:val="nil"/>
              <w:bottom w:val="single" w:sz="12" w:space="0" w:color="auto"/>
              <w:right w:val="nil"/>
            </w:tcBorders>
          </w:tcPr>
          <w:p w14:paraId="6C848B85" w14:textId="77777777" w:rsidR="007D0137" w:rsidRDefault="007D0137" w:rsidP="00DF186B">
            <w:pPr>
              <w:spacing w:after="0" w:line="240" w:lineRule="auto"/>
            </w:pPr>
            <w:r>
              <w:t>N (%)</w:t>
            </w:r>
          </w:p>
        </w:tc>
      </w:tr>
      <w:tr w:rsidR="007D0137" w14:paraId="17C00077" w14:textId="77777777" w:rsidTr="00DF186B">
        <w:tc>
          <w:tcPr>
            <w:tcW w:w="4508" w:type="dxa"/>
            <w:tcBorders>
              <w:top w:val="single" w:sz="12" w:space="0" w:color="auto"/>
              <w:left w:val="nil"/>
              <w:right w:val="nil"/>
            </w:tcBorders>
          </w:tcPr>
          <w:p w14:paraId="1C2FA3AC" w14:textId="77777777" w:rsidR="007D0137" w:rsidRDefault="007D0137" w:rsidP="00DF186B">
            <w:pPr>
              <w:spacing w:after="0" w:line="240" w:lineRule="auto"/>
            </w:pPr>
            <w:r>
              <w:t>High temperature / fever</w:t>
            </w:r>
          </w:p>
        </w:tc>
        <w:tc>
          <w:tcPr>
            <w:tcW w:w="4508" w:type="dxa"/>
            <w:tcBorders>
              <w:top w:val="single" w:sz="12" w:space="0" w:color="auto"/>
              <w:left w:val="nil"/>
              <w:right w:val="nil"/>
            </w:tcBorders>
          </w:tcPr>
          <w:p w14:paraId="6AA6B022" w14:textId="77777777" w:rsidR="007D0137" w:rsidRDefault="007D0137" w:rsidP="00DF186B">
            <w:pPr>
              <w:spacing w:after="0" w:line="240" w:lineRule="auto"/>
            </w:pPr>
            <w:r>
              <w:t>1597 (79.8)</w:t>
            </w:r>
          </w:p>
        </w:tc>
      </w:tr>
      <w:tr w:rsidR="007D0137" w14:paraId="2474807A" w14:textId="77777777" w:rsidTr="00DF186B">
        <w:tc>
          <w:tcPr>
            <w:tcW w:w="4508" w:type="dxa"/>
            <w:tcBorders>
              <w:left w:val="nil"/>
              <w:right w:val="nil"/>
            </w:tcBorders>
          </w:tcPr>
          <w:p w14:paraId="3BDE8F3A" w14:textId="77777777" w:rsidR="007D0137" w:rsidRDefault="007D0137" w:rsidP="00DF186B">
            <w:pPr>
              <w:spacing w:after="0" w:line="240" w:lineRule="auto"/>
            </w:pPr>
            <w:r>
              <w:t>Cough</w:t>
            </w:r>
          </w:p>
        </w:tc>
        <w:tc>
          <w:tcPr>
            <w:tcW w:w="4508" w:type="dxa"/>
            <w:tcBorders>
              <w:left w:val="nil"/>
              <w:right w:val="nil"/>
            </w:tcBorders>
          </w:tcPr>
          <w:p w14:paraId="64296E2C" w14:textId="77777777" w:rsidR="007D0137" w:rsidRDefault="007D0137" w:rsidP="00DF186B">
            <w:pPr>
              <w:spacing w:after="0" w:line="240" w:lineRule="auto"/>
            </w:pPr>
            <w:r>
              <w:t>1458 (72.9)</w:t>
            </w:r>
          </w:p>
        </w:tc>
      </w:tr>
      <w:tr w:rsidR="007D0137" w14:paraId="318C2D6F" w14:textId="77777777" w:rsidTr="00DF186B">
        <w:tc>
          <w:tcPr>
            <w:tcW w:w="4508" w:type="dxa"/>
            <w:tcBorders>
              <w:left w:val="nil"/>
              <w:right w:val="nil"/>
            </w:tcBorders>
          </w:tcPr>
          <w:p w14:paraId="247190C7" w14:textId="77777777" w:rsidR="007D0137" w:rsidRDefault="007D0137" w:rsidP="00DF186B">
            <w:pPr>
              <w:spacing w:after="0" w:line="240" w:lineRule="auto"/>
            </w:pPr>
            <w:r>
              <w:t>Shortness of breath / difficulty breathing</w:t>
            </w:r>
          </w:p>
        </w:tc>
        <w:tc>
          <w:tcPr>
            <w:tcW w:w="4508" w:type="dxa"/>
            <w:tcBorders>
              <w:left w:val="nil"/>
              <w:right w:val="nil"/>
            </w:tcBorders>
          </w:tcPr>
          <w:p w14:paraId="33CBEE92" w14:textId="77777777" w:rsidR="007D0137" w:rsidRDefault="007D0137" w:rsidP="00DF186B">
            <w:pPr>
              <w:spacing w:after="0" w:line="240" w:lineRule="auto"/>
            </w:pPr>
            <w:r>
              <w:t>1326 (66.3)</w:t>
            </w:r>
          </w:p>
        </w:tc>
      </w:tr>
      <w:tr w:rsidR="007D0137" w14:paraId="11D68EAC" w14:textId="77777777" w:rsidTr="00DF186B">
        <w:tc>
          <w:tcPr>
            <w:tcW w:w="4508" w:type="dxa"/>
            <w:tcBorders>
              <w:left w:val="nil"/>
              <w:right w:val="nil"/>
            </w:tcBorders>
          </w:tcPr>
          <w:p w14:paraId="69B7BF5B" w14:textId="77777777" w:rsidR="007D0137" w:rsidRDefault="007D0137" w:rsidP="00DF186B">
            <w:pPr>
              <w:spacing w:after="0" w:line="240" w:lineRule="auto"/>
            </w:pPr>
            <w:r>
              <w:t>Flu-like symptoms</w:t>
            </w:r>
          </w:p>
        </w:tc>
        <w:tc>
          <w:tcPr>
            <w:tcW w:w="4508" w:type="dxa"/>
            <w:tcBorders>
              <w:left w:val="nil"/>
              <w:right w:val="nil"/>
            </w:tcBorders>
          </w:tcPr>
          <w:p w14:paraId="49350390" w14:textId="77777777" w:rsidR="007D0137" w:rsidRDefault="007D0137" w:rsidP="00DF186B">
            <w:pPr>
              <w:spacing w:after="0" w:line="240" w:lineRule="auto"/>
            </w:pPr>
            <w:r>
              <w:t>1325 (66.2)</w:t>
            </w:r>
          </w:p>
        </w:tc>
      </w:tr>
      <w:tr w:rsidR="007D0137" w14:paraId="7D65171C" w14:textId="77777777" w:rsidTr="00DF186B">
        <w:tc>
          <w:tcPr>
            <w:tcW w:w="4508" w:type="dxa"/>
            <w:tcBorders>
              <w:left w:val="nil"/>
              <w:right w:val="nil"/>
            </w:tcBorders>
          </w:tcPr>
          <w:p w14:paraId="6F2C0A6A" w14:textId="77777777" w:rsidR="007D0137" w:rsidRDefault="007D0137" w:rsidP="00DF186B">
            <w:pPr>
              <w:spacing w:after="0" w:line="240" w:lineRule="auto"/>
            </w:pPr>
            <w:r>
              <w:t>Sore throat</w:t>
            </w:r>
          </w:p>
        </w:tc>
        <w:tc>
          <w:tcPr>
            <w:tcW w:w="4508" w:type="dxa"/>
            <w:tcBorders>
              <w:left w:val="nil"/>
              <w:right w:val="nil"/>
            </w:tcBorders>
          </w:tcPr>
          <w:p w14:paraId="07986B9D" w14:textId="77777777" w:rsidR="007D0137" w:rsidRDefault="007D0137" w:rsidP="00DF186B">
            <w:pPr>
              <w:spacing w:after="0" w:line="240" w:lineRule="auto"/>
            </w:pPr>
            <w:r>
              <w:t>283 (14.1)</w:t>
            </w:r>
          </w:p>
        </w:tc>
      </w:tr>
      <w:tr w:rsidR="007D0137" w14:paraId="0689CC6A" w14:textId="77777777" w:rsidTr="00DF186B">
        <w:tc>
          <w:tcPr>
            <w:tcW w:w="4508" w:type="dxa"/>
            <w:tcBorders>
              <w:left w:val="nil"/>
              <w:right w:val="nil"/>
            </w:tcBorders>
          </w:tcPr>
          <w:p w14:paraId="2A348C67" w14:textId="77777777" w:rsidR="007D0137" w:rsidRDefault="007D0137" w:rsidP="00DF186B">
            <w:pPr>
              <w:spacing w:after="0" w:line="240" w:lineRule="auto"/>
            </w:pPr>
            <w:r>
              <w:t>Runny or blocked nose</w:t>
            </w:r>
          </w:p>
        </w:tc>
        <w:tc>
          <w:tcPr>
            <w:tcW w:w="4508" w:type="dxa"/>
            <w:tcBorders>
              <w:left w:val="nil"/>
              <w:right w:val="nil"/>
            </w:tcBorders>
          </w:tcPr>
          <w:p w14:paraId="3CFB0F61" w14:textId="77777777" w:rsidR="007D0137" w:rsidRDefault="007D0137" w:rsidP="00DF186B">
            <w:pPr>
              <w:spacing w:after="0" w:line="240" w:lineRule="auto"/>
            </w:pPr>
            <w:r>
              <w:t>236 (11.8)</w:t>
            </w:r>
          </w:p>
        </w:tc>
      </w:tr>
      <w:tr w:rsidR="007D0137" w14:paraId="5F259FD5" w14:textId="77777777" w:rsidTr="00DF186B">
        <w:tc>
          <w:tcPr>
            <w:tcW w:w="4508" w:type="dxa"/>
            <w:tcBorders>
              <w:left w:val="nil"/>
              <w:right w:val="nil"/>
            </w:tcBorders>
          </w:tcPr>
          <w:p w14:paraId="6F73BF9E" w14:textId="77777777" w:rsidR="007D0137" w:rsidRDefault="007D0137" w:rsidP="00DF186B">
            <w:pPr>
              <w:spacing w:after="0" w:line="240" w:lineRule="auto"/>
            </w:pPr>
            <w:r>
              <w:t>Aches and pains</w:t>
            </w:r>
          </w:p>
        </w:tc>
        <w:tc>
          <w:tcPr>
            <w:tcW w:w="4508" w:type="dxa"/>
            <w:tcBorders>
              <w:left w:val="nil"/>
              <w:right w:val="nil"/>
            </w:tcBorders>
          </w:tcPr>
          <w:p w14:paraId="468B0AAE" w14:textId="77777777" w:rsidR="007D0137" w:rsidRDefault="007D0137" w:rsidP="00DF186B">
            <w:pPr>
              <w:spacing w:after="0" w:line="240" w:lineRule="auto"/>
            </w:pPr>
            <w:r>
              <w:t>209 (10.4)</w:t>
            </w:r>
          </w:p>
        </w:tc>
      </w:tr>
      <w:tr w:rsidR="007D0137" w14:paraId="70285C45" w14:textId="77777777" w:rsidTr="00DF186B">
        <w:tc>
          <w:tcPr>
            <w:tcW w:w="4508" w:type="dxa"/>
            <w:tcBorders>
              <w:left w:val="nil"/>
              <w:right w:val="nil"/>
            </w:tcBorders>
          </w:tcPr>
          <w:p w14:paraId="41719A6D" w14:textId="77777777" w:rsidR="007D0137" w:rsidRDefault="007D0137" w:rsidP="00DF186B">
            <w:pPr>
              <w:spacing w:after="0" w:line="240" w:lineRule="auto"/>
            </w:pPr>
            <w:r>
              <w:t>Sneezing</w:t>
            </w:r>
          </w:p>
        </w:tc>
        <w:tc>
          <w:tcPr>
            <w:tcW w:w="4508" w:type="dxa"/>
            <w:tcBorders>
              <w:left w:val="nil"/>
              <w:right w:val="nil"/>
            </w:tcBorders>
          </w:tcPr>
          <w:p w14:paraId="3E3E1E97" w14:textId="77777777" w:rsidR="007D0137" w:rsidRDefault="007D0137" w:rsidP="00DF186B">
            <w:pPr>
              <w:spacing w:after="0" w:line="240" w:lineRule="auto"/>
            </w:pPr>
            <w:r>
              <w:t>189 (9.4)</w:t>
            </w:r>
          </w:p>
        </w:tc>
      </w:tr>
      <w:tr w:rsidR="007D0137" w14:paraId="5AA492FC" w14:textId="77777777" w:rsidTr="00DF186B">
        <w:tc>
          <w:tcPr>
            <w:tcW w:w="4508" w:type="dxa"/>
            <w:tcBorders>
              <w:left w:val="nil"/>
              <w:right w:val="nil"/>
            </w:tcBorders>
          </w:tcPr>
          <w:p w14:paraId="5768C5F7" w14:textId="77777777" w:rsidR="007D0137" w:rsidRDefault="007D0137" w:rsidP="00DF186B">
            <w:pPr>
              <w:spacing w:after="0" w:line="240" w:lineRule="auto"/>
            </w:pPr>
            <w:r>
              <w:t>Feeling tired or having low energy</w:t>
            </w:r>
          </w:p>
        </w:tc>
        <w:tc>
          <w:tcPr>
            <w:tcW w:w="4508" w:type="dxa"/>
            <w:tcBorders>
              <w:left w:val="nil"/>
              <w:right w:val="nil"/>
            </w:tcBorders>
          </w:tcPr>
          <w:p w14:paraId="697F7B28" w14:textId="77777777" w:rsidR="007D0137" w:rsidRDefault="007D0137" w:rsidP="00DF186B">
            <w:pPr>
              <w:spacing w:after="0" w:line="240" w:lineRule="auto"/>
            </w:pPr>
            <w:r>
              <w:t>119 (5.9)</w:t>
            </w:r>
          </w:p>
        </w:tc>
      </w:tr>
      <w:tr w:rsidR="007D0137" w14:paraId="2BA7A7E3" w14:textId="77777777" w:rsidTr="00DF186B">
        <w:tc>
          <w:tcPr>
            <w:tcW w:w="4508" w:type="dxa"/>
            <w:tcBorders>
              <w:left w:val="nil"/>
              <w:right w:val="nil"/>
            </w:tcBorders>
          </w:tcPr>
          <w:p w14:paraId="76A7A523" w14:textId="77777777" w:rsidR="007D0137" w:rsidRDefault="007D0137" w:rsidP="00DF186B">
            <w:pPr>
              <w:spacing w:after="0" w:line="240" w:lineRule="auto"/>
            </w:pPr>
            <w:r>
              <w:t>Headaches</w:t>
            </w:r>
          </w:p>
        </w:tc>
        <w:tc>
          <w:tcPr>
            <w:tcW w:w="4508" w:type="dxa"/>
            <w:tcBorders>
              <w:left w:val="nil"/>
              <w:right w:val="nil"/>
            </w:tcBorders>
          </w:tcPr>
          <w:p w14:paraId="18771685" w14:textId="77777777" w:rsidR="007D0137" w:rsidRDefault="007D0137" w:rsidP="00DF186B">
            <w:pPr>
              <w:spacing w:after="0" w:line="240" w:lineRule="auto"/>
            </w:pPr>
            <w:r>
              <w:t>103 (5.1)</w:t>
            </w:r>
          </w:p>
        </w:tc>
      </w:tr>
      <w:tr w:rsidR="007D0137" w14:paraId="41CCC877" w14:textId="77777777" w:rsidTr="00DF186B">
        <w:tc>
          <w:tcPr>
            <w:tcW w:w="4508" w:type="dxa"/>
            <w:tcBorders>
              <w:left w:val="nil"/>
              <w:right w:val="nil"/>
            </w:tcBorders>
          </w:tcPr>
          <w:p w14:paraId="59E07273" w14:textId="77777777" w:rsidR="007D0137" w:rsidRDefault="007D0137" w:rsidP="00DF186B">
            <w:pPr>
              <w:spacing w:after="0" w:line="240" w:lineRule="auto"/>
            </w:pPr>
            <w:r>
              <w:t>Chest pain</w:t>
            </w:r>
          </w:p>
        </w:tc>
        <w:tc>
          <w:tcPr>
            <w:tcW w:w="4508" w:type="dxa"/>
            <w:tcBorders>
              <w:left w:val="nil"/>
              <w:right w:val="nil"/>
            </w:tcBorders>
          </w:tcPr>
          <w:p w14:paraId="12938E75" w14:textId="77777777" w:rsidR="007D0137" w:rsidRDefault="007D0137" w:rsidP="00DF186B">
            <w:pPr>
              <w:spacing w:after="0" w:line="240" w:lineRule="auto"/>
            </w:pPr>
            <w:r>
              <w:t>95 (4.7)</w:t>
            </w:r>
          </w:p>
        </w:tc>
      </w:tr>
      <w:tr w:rsidR="007D0137" w14:paraId="563EA3C0" w14:textId="77777777" w:rsidTr="00DF186B">
        <w:tc>
          <w:tcPr>
            <w:tcW w:w="4508" w:type="dxa"/>
            <w:tcBorders>
              <w:left w:val="nil"/>
              <w:right w:val="nil"/>
            </w:tcBorders>
          </w:tcPr>
          <w:p w14:paraId="68334C47" w14:textId="77777777" w:rsidR="007D0137" w:rsidRDefault="007D0137" w:rsidP="00DF186B">
            <w:pPr>
              <w:spacing w:after="0" w:line="240" w:lineRule="auto"/>
            </w:pPr>
            <w:r>
              <w:t>Chills / shivering</w:t>
            </w:r>
          </w:p>
        </w:tc>
        <w:tc>
          <w:tcPr>
            <w:tcW w:w="4508" w:type="dxa"/>
            <w:tcBorders>
              <w:left w:val="nil"/>
              <w:right w:val="nil"/>
            </w:tcBorders>
          </w:tcPr>
          <w:p w14:paraId="130231D6" w14:textId="77777777" w:rsidR="007D0137" w:rsidRDefault="007D0137" w:rsidP="00DF186B">
            <w:pPr>
              <w:spacing w:after="0" w:line="240" w:lineRule="auto"/>
            </w:pPr>
            <w:r>
              <w:t>85 (4.2)</w:t>
            </w:r>
          </w:p>
        </w:tc>
      </w:tr>
      <w:tr w:rsidR="007D0137" w14:paraId="0F8B2625" w14:textId="77777777" w:rsidTr="00DF186B">
        <w:tc>
          <w:tcPr>
            <w:tcW w:w="4508" w:type="dxa"/>
            <w:tcBorders>
              <w:left w:val="nil"/>
              <w:right w:val="nil"/>
            </w:tcBorders>
          </w:tcPr>
          <w:p w14:paraId="3C1CE1C1" w14:textId="77777777" w:rsidR="007D0137" w:rsidRDefault="007D0137" w:rsidP="00DF186B">
            <w:pPr>
              <w:spacing w:after="0" w:line="240" w:lineRule="auto"/>
            </w:pPr>
            <w:r>
              <w:t>Nausea / vomiting</w:t>
            </w:r>
          </w:p>
        </w:tc>
        <w:tc>
          <w:tcPr>
            <w:tcW w:w="4508" w:type="dxa"/>
            <w:tcBorders>
              <w:left w:val="nil"/>
              <w:right w:val="nil"/>
            </w:tcBorders>
          </w:tcPr>
          <w:p w14:paraId="3B0D7D42" w14:textId="77777777" w:rsidR="007D0137" w:rsidRDefault="007D0137" w:rsidP="00DF186B">
            <w:pPr>
              <w:spacing w:after="0" w:line="240" w:lineRule="auto"/>
            </w:pPr>
            <w:r>
              <w:t>61 (3.0)</w:t>
            </w:r>
          </w:p>
        </w:tc>
      </w:tr>
      <w:tr w:rsidR="007D0137" w14:paraId="06CC73DC" w14:textId="77777777" w:rsidTr="00DF186B">
        <w:tc>
          <w:tcPr>
            <w:tcW w:w="4508" w:type="dxa"/>
            <w:tcBorders>
              <w:left w:val="nil"/>
              <w:right w:val="nil"/>
            </w:tcBorders>
          </w:tcPr>
          <w:p w14:paraId="684312C2" w14:textId="77777777" w:rsidR="007D0137" w:rsidRDefault="007D0137" w:rsidP="00DF186B">
            <w:pPr>
              <w:spacing w:after="0" w:line="240" w:lineRule="auto"/>
            </w:pPr>
            <w:r>
              <w:t>Pain in your arms, legs or joints</w:t>
            </w:r>
          </w:p>
        </w:tc>
        <w:tc>
          <w:tcPr>
            <w:tcW w:w="4508" w:type="dxa"/>
            <w:tcBorders>
              <w:left w:val="nil"/>
              <w:right w:val="nil"/>
            </w:tcBorders>
          </w:tcPr>
          <w:p w14:paraId="70339AF4" w14:textId="77777777" w:rsidR="007D0137" w:rsidRDefault="007D0137" w:rsidP="00DF186B">
            <w:pPr>
              <w:spacing w:after="0" w:line="240" w:lineRule="auto"/>
            </w:pPr>
            <w:r>
              <w:t>34 (1.7)</w:t>
            </w:r>
          </w:p>
        </w:tc>
      </w:tr>
      <w:tr w:rsidR="007D0137" w14:paraId="11144B4F" w14:textId="77777777" w:rsidTr="00DF186B">
        <w:tc>
          <w:tcPr>
            <w:tcW w:w="4508" w:type="dxa"/>
            <w:tcBorders>
              <w:left w:val="nil"/>
              <w:right w:val="nil"/>
            </w:tcBorders>
          </w:tcPr>
          <w:p w14:paraId="6C858414" w14:textId="77777777" w:rsidR="007D0137" w:rsidRDefault="007D0137" w:rsidP="00DF186B">
            <w:pPr>
              <w:spacing w:after="0" w:line="240" w:lineRule="auto"/>
            </w:pPr>
            <w:r>
              <w:t>Dizziness</w:t>
            </w:r>
          </w:p>
        </w:tc>
        <w:tc>
          <w:tcPr>
            <w:tcW w:w="4508" w:type="dxa"/>
            <w:tcBorders>
              <w:left w:val="nil"/>
              <w:right w:val="nil"/>
            </w:tcBorders>
          </w:tcPr>
          <w:p w14:paraId="5928E634" w14:textId="77777777" w:rsidR="007D0137" w:rsidRDefault="007D0137" w:rsidP="00DF186B">
            <w:pPr>
              <w:spacing w:after="0" w:line="240" w:lineRule="auto"/>
            </w:pPr>
            <w:r>
              <w:t>33 (1.6)</w:t>
            </w:r>
          </w:p>
        </w:tc>
      </w:tr>
      <w:tr w:rsidR="007D0137" w14:paraId="411C13C3" w14:textId="77777777" w:rsidTr="00DF186B">
        <w:tc>
          <w:tcPr>
            <w:tcW w:w="4508" w:type="dxa"/>
            <w:tcBorders>
              <w:left w:val="nil"/>
              <w:right w:val="nil"/>
            </w:tcBorders>
          </w:tcPr>
          <w:p w14:paraId="5299D730" w14:textId="77777777" w:rsidR="007D0137" w:rsidRDefault="007D0137" w:rsidP="00DF186B">
            <w:pPr>
              <w:spacing w:after="0" w:line="240" w:lineRule="auto"/>
            </w:pPr>
            <w:r>
              <w:t>Diarrhoea</w:t>
            </w:r>
          </w:p>
        </w:tc>
        <w:tc>
          <w:tcPr>
            <w:tcW w:w="4508" w:type="dxa"/>
            <w:tcBorders>
              <w:left w:val="nil"/>
              <w:right w:val="nil"/>
            </w:tcBorders>
          </w:tcPr>
          <w:p w14:paraId="72E11CD5" w14:textId="77777777" w:rsidR="007D0137" w:rsidRDefault="007D0137" w:rsidP="00DF186B">
            <w:pPr>
              <w:spacing w:after="0" w:line="240" w:lineRule="auto"/>
            </w:pPr>
            <w:r>
              <w:t>28 (1.4)</w:t>
            </w:r>
          </w:p>
        </w:tc>
      </w:tr>
      <w:tr w:rsidR="007D0137" w14:paraId="51C11F51" w14:textId="77777777" w:rsidTr="00DF186B">
        <w:tc>
          <w:tcPr>
            <w:tcW w:w="4508" w:type="dxa"/>
            <w:tcBorders>
              <w:left w:val="nil"/>
              <w:right w:val="nil"/>
            </w:tcBorders>
          </w:tcPr>
          <w:p w14:paraId="6D2EE765" w14:textId="77777777" w:rsidR="007D0137" w:rsidRDefault="007D0137" w:rsidP="00DF186B">
            <w:pPr>
              <w:spacing w:after="0" w:line="240" w:lineRule="auto"/>
            </w:pPr>
            <w:r>
              <w:t>Feeling your heart pound or race</w:t>
            </w:r>
          </w:p>
        </w:tc>
        <w:tc>
          <w:tcPr>
            <w:tcW w:w="4508" w:type="dxa"/>
            <w:tcBorders>
              <w:left w:val="nil"/>
              <w:right w:val="nil"/>
            </w:tcBorders>
          </w:tcPr>
          <w:p w14:paraId="3B6FF970" w14:textId="77777777" w:rsidR="007D0137" w:rsidRDefault="007D0137" w:rsidP="00DF186B">
            <w:pPr>
              <w:spacing w:after="0" w:line="240" w:lineRule="auto"/>
            </w:pPr>
            <w:r>
              <w:t>20 (1.0)</w:t>
            </w:r>
          </w:p>
        </w:tc>
      </w:tr>
      <w:tr w:rsidR="007D0137" w14:paraId="5899BE66" w14:textId="77777777" w:rsidTr="00DF186B">
        <w:tc>
          <w:tcPr>
            <w:tcW w:w="4508" w:type="dxa"/>
            <w:tcBorders>
              <w:left w:val="nil"/>
              <w:right w:val="nil"/>
            </w:tcBorders>
          </w:tcPr>
          <w:p w14:paraId="78DB5A43" w14:textId="77777777" w:rsidR="007D0137" w:rsidRDefault="007D0137" w:rsidP="00DF186B">
            <w:pPr>
              <w:spacing w:after="0" w:line="240" w:lineRule="auto"/>
            </w:pPr>
            <w:r>
              <w:t>Fainting spells</w:t>
            </w:r>
          </w:p>
        </w:tc>
        <w:tc>
          <w:tcPr>
            <w:tcW w:w="4508" w:type="dxa"/>
            <w:tcBorders>
              <w:left w:val="nil"/>
              <w:right w:val="nil"/>
            </w:tcBorders>
          </w:tcPr>
          <w:p w14:paraId="1222B581" w14:textId="77777777" w:rsidR="007D0137" w:rsidRDefault="007D0137" w:rsidP="00DF186B">
            <w:pPr>
              <w:spacing w:after="0" w:line="240" w:lineRule="auto"/>
            </w:pPr>
            <w:r>
              <w:t>13 (0.6)</w:t>
            </w:r>
          </w:p>
        </w:tc>
      </w:tr>
      <w:tr w:rsidR="007D0137" w14:paraId="5BA964B2" w14:textId="77777777" w:rsidTr="00DF186B">
        <w:tc>
          <w:tcPr>
            <w:tcW w:w="4508" w:type="dxa"/>
            <w:tcBorders>
              <w:left w:val="nil"/>
              <w:right w:val="nil"/>
            </w:tcBorders>
          </w:tcPr>
          <w:p w14:paraId="1D2A3329" w14:textId="77777777" w:rsidR="007D0137" w:rsidRDefault="007D0137" w:rsidP="00DF186B">
            <w:pPr>
              <w:spacing w:after="0" w:line="240" w:lineRule="auto"/>
            </w:pPr>
            <w:r>
              <w:t>Loss of appetite</w:t>
            </w:r>
          </w:p>
        </w:tc>
        <w:tc>
          <w:tcPr>
            <w:tcW w:w="4508" w:type="dxa"/>
            <w:tcBorders>
              <w:left w:val="nil"/>
              <w:right w:val="nil"/>
            </w:tcBorders>
          </w:tcPr>
          <w:p w14:paraId="76F97924" w14:textId="77777777" w:rsidR="007D0137" w:rsidRDefault="007D0137" w:rsidP="00DF186B">
            <w:pPr>
              <w:spacing w:after="0" w:line="240" w:lineRule="auto"/>
            </w:pPr>
            <w:r>
              <w:t>9 (0.4)</w:t>
            </w:r>
          </w:p>
        </w:tc>
      </w:tr>
      <w:tr w:rsidR="007D0137" w14:paraId="5F589EF8" w14:textId="77777777" w:rsidTr="00DF186B">
        <w:tc>
          <w:tcPr>
            <w:tcW w:w="4508" w:type="dxa"/>
            <w:tcBorders>
              <w:left w:val="nil"/>
              <w:right w:val="nil"/>
            </w:tcBorders>
          </w:tcPr>
          <w:p w14:paraId="0C88DC01" w14:textId="77777777" w:rsidR="007D0137" w:rsidRDefault="007D0137" w:rsidP="00DF186B">
            <w:pPr>
              <w:spacing w:after="0" w:line="240" w:lineRule="auto"/>
            </w:pPr>
            <w:r>
              <w:t>Trouble sleeping</w:t>
            </w:r>
          </w:p>
        </w:tc>
        <w:tc>
          <w:tcPr>
            <w:tcW w:w="4508" w:type="dxa"/>
            <w:tcBorders>
              <w:left w:val="nil"/>
              <w:right w:val="nil"/>
            </w:tcBorders>
          </w:tcPr>
          <w:p w14:paraId="796CD5F2" w14:textId="77777777" w:rsidR="007D0137" w:rsidRDefault="007D0137" w:rsidP="00DF186B">
            <w:pPr>
              <w:spacing w:after="0" w:line="240" w:lineRule="auto"/>
            </w:pPr>
            <w:r>
              <w:t>8 (0.4)</w:t>
            </w:r>
          </w:p>
        </w:tc>
      </w:tr>
      <w:tr w:rsidR="007D0137" w14:paraId="53769E73" w14:textId="77777777" w:rsidTr="00DF186B">
        <w:tc>
          <w:tcPr>
            <w:tcW w:w="4508" w:type="dxa"/>
            <w:tcBorders>
              <w:left w:val="nil"/>
              <w:right w:val="nil"/>
            </w:tcBorders>
          </w:tcPr>
          <w:p w14:paraId="65D78C3F" w14:textId="77777777" w:rsidR="007D0137" w:rsidRDefault="007D0137" w:rsidP="00DF186B">
            <w:pPr>
              <w:spacing w:after="0" w:line="240" w:lineRule="auto"/>
            </w:pPr>
            <w:r>
              <w:t>Back pain</w:t>
            </w:r>
          </w:p>
        </w:tc>
        <w:tc>
          <w:tcPr>
            <w:tcW w:w="4508" w:type="dxa"/>
            <w:tcBorders>
              <w:left w:val="nil"/>
              <w:right w:val="nil"/>
            </w:tcBorders>
          </w:tcPr>
          <w:p w14:paraId="192C4C44" w14:textId="77777777" w:rsidR="007D0137" w:rsidRDefault="007D0137" w:rsidP="00DF186B">
            <w:pPr>
              <w:spacing w:after="0" w:line="240" w:lineRule="auto"/>
            </w:pPr>
            <w:r>
              <w:t>4 (0.2)</w:t>
            </w:r>
          </w:p>
        </w:tc>
      </w:tr>
      <w:tr w:rsidR="007D0137" w14:paraId="0DFA3E6B" w14:textId="77777777" w:rsidTr="00DF186B">
        <w:tc>
          <w:tcPr>
            <w:tcW w:w="4508" w:type="dxa"/>
            <w:tcBorders>
              <w:left w:val="nil"/>
              <w:right w:val="nil"/>
            </w:tcBorders>
          </w:tcPr>
          <w:p w14:paraId="08A98224" w14:textId="77777777" w:rsidR="007D0137" w:rsidRDefault="007D0137" w:rsidP="00DF186B">
            <w:pPr>
              <w:spacing w:after="0" w:line="240" w:lineRule="auto"/>
            </w:pPr>
            <w:r>
              <w:t>Stomach ache</w:t>
            </w:r>
          </w:p>
        </w:tc>
        <w:tc>
          <w:tcPr>
            <w:tcW w:w="4508" w:type="dxa"/>
            <w:tcBorders>
              <w:left w:val="nil"/>
              <w:right w:val="nil"/>
            </w:tcBorders>
          </w:tcPr>
          <w:p w14:paraId="69F242D1" w14:textId="77777777" w:rsidR="007D0137" w:rsidRDefault="007D0137" w:rsidP="00DF186B">
            <w:pPr>
              <w:spacing w:after="0" w:line="240" w:lineRule="auto"/>
            </w:pPr>
            <w:r>
              <w:t>4 (0.2)</w:t>
            </w:r>
          </w:p>
        </w:tc>
      </w:tr>
      <w:tr w:rsidR="007D0137" w14:paraId="17302B24" w14:textId="77777777" w:rsidTr="00DF186B">
        <w:tc>
          <w:tcPr>
            <w:tcW w:w="4508" w:type="dxa"/>
            <w:tcBorders>
              <w:left w:val="nil"/>
              <w:bottom w:val="single" w:sz="12" w:space="0" w:color="auto"/>
              <w:right w:val="nil"/>
            </w:tcBorders>
          </w:tcPr>
          <w:p w14:paraId="54395753" w14:textId="77777777" w:rsidR="007D0137" w:rsidRDefault="007D0137" w:rsidP="00DF186B">
            <w:pPr>
              <w:spacing w:after="0" w:line="240" w:lineRule="auto"/>
            </w:pPr>
            <w:r>
              <w:t>Don’t know (SINGLE CODE)</w:t>
            </w:r>
          </w:p>
        </w:tc>
        <w:tc>
          <w:tcPr>
            <w:tcW w:w="4508" w:type="dxa"/>
            <w:tcBorders>
              <w:left w:val="nil"/>
              <w:bottom w:val="single" w:sz="12" w:space="0" w:color="auto"/>
              <w:right w:val="nil"/>
            </w:tcBorders>
          </w:tcPr>
          <w:p w14:paraId="36D7FDCB" w14:textId="77777777" w:rsidR="007D0137" w:rsidRDefault="007D0137" w:rsidP="00DF186B">
            <w:pPr>
              <w:spacing w:after="0" w:line="240" w:lineRule="auto"/>
            </w:pPr>
            <w:r>
              <w:t>53 (2.6)</w:t>
            </w:r>
          </w:p>
        </w:tc>
      </w:tr>
      <w:tr w:rsidR="007D0137" w14:paraId="446EEB34" w14:textId="77777777" w:rsidTr="00DF186B">
        <w:tc>
          <w:tcPr>
            <w:tcW w:w="4508" w:type="dxa"/>
            <w:tcBorders>
              <w:top w:val="single" w:sz="12" w:space="0" w:color="auto"/>
              <w:left w:val="nil"/>
              <w:right w:val="nil"/>
            </w:tcBorders>
          </w:tcPr>
          <w:p w14:paraId="2DF3C81D" w14:textId="77777777" w:rsidR="007D0137" w:rsidRDefault="007D0137" w:rsidP="00DF186B">
            <w:pPr>
              <w:spacing w:after="0" w:line="240" w:lineRule="auto"/>
            </w:pPr>
            <w:r>
              <w:t>Identified high temperature and cough as symptoms</w:t>
            </w:r>
          </w:p>
        </w:tc>
        <w:tc>
          <w:tcPr>
            <w:tcW w:w="4508" w:type="dxa"/>
            <w:tcBorders>
              <w:top w:val="single" w:sz="12" w:space="0" w:color="auto"/>
              <w:left w:val="nil"/>
              <w:right w:val="nil"/>
            </w:tcBorders>
          </w:tcPr>
          <w:p w14:paraId="7C50D7AC" w14:textId="77777777" w:rsidR="007D0137" w:rsidRDefault="007D0137" w:rsidP="00DF186B">
            <w:pPr>
              <w:spacing w:after="0" w:line="240" w:lineRule="auto"/>
            </w:pPr>
            <w:r>
              <w:t>1224 (62.8)</w:t>
            </w:r>
          </w:p>
        </w:tc>
      </w:tr>
      <w:tr w:rsidR="007D0137" w14:paraId="1021C1B9" w14:textId="77777777" w:rsidTr="00DF186B">
        <w:tc>
          <w:tcPr>
            <w:tcW w:w="4508" w:type="dxa"/>
            <w:tcBorders>
              <w:left w:val="nil"/>
              <w:bottom w:val="single" w:sz="12" w:space="0" w:color="auto"/>
              <w:right w:val="nil"/>
            </w:tcBorders>
          </w:tcPr>
          <w:p w14:paraId="6E41FE55" w14:textId="77777777" w:rsidR="007D0137" w:rsidRDefault="007D0137" w:rsidP="00DF186B">
            <w:pPr>
              <w:spacing w:after="0" w:line="240" w:lineRule="auto"/>
            </w:pPr>
            <w:r>
              <w:t>Identified high temperature, cough and myalgia as symptoms</w:t>
            </w:r>
          </w:p>
        </w:tc>
        <w:tc>
          <w:tcPr>
            <w:tcW w:w="4508" w:type="dxa"/>
            <w:tcBorders>
              <w:left w:val="nil"/>
              <w:bottom w:val="single" w:sz="12" w:space="0" w:color="auto"/>
              <w:right w:val="nil"/>
            </w:tcBorders>
          </w:tcPr>
          <w:p w14:paraId="74C6F7EA" w14:textId="77777777" w:rsidR="007D0137" w:rsidRDefault="007D0137" w:rsidP="00DF186B">
            <w:pPr>
              <w:spacing w:after="0" w:line="240" w:lineRule="auto"/>
            </w:pPr>
            <w:r>
              <w:t>108 (5.5)</w:t>
            </w:r>
          </w:p>
        </w:tc>
      </w:tr>
    </w:tbl>
    <w:p w14:paraId="7A119777" w14:textId="77777777" w:rsidR="007D0137" w:rsidRDefault="007D0137" w:rsidP="007D0137"/>
    <w:p w14:paraId="15AC235E" w14:textId="77777777" w:rsidR="009C4844" w:rsidRDefault="009C4844">
      <w:pPr>
        <w:spacing w:after="160" w:line="259" w:lineRule="auto"/>
      </w:pPr>
      <w:r>
        <w:br w:type="page"/>
      </w:r>
    </w:p>
    <w:p w14:paraId="0FECB874" w14:textId="0C82EC33" w:rsidR="007D0137" w:rsidRDefault="007D0137" w:rsidP="007D0137">
      <w:r>
        <w:lastRenderedPageBreak/>
        <w:t>Table</w:t>
      </w:r>
      <w:r w:rsidR="00E237C7">
        <w:t xml:space="preserve"> 2. P</w:t>
      </w:r>
      <w:r>
        <w:t>roportion of participants’ intended behaviour if they developed symptoms of coronavirus</w:t>
      </w:r>
    </w:p>
    <w:tbl>
      <w:tblPr>
        <w:tblStyle w:val="TableGrid"/>
        <w:tblW w:w="0" w:type="auto"/>
        <w:tblLook w:val="04A0" w:firstRow="1" w:lastRow="0" w:firstColumn="1" w:lastColumn="0" w:noHBand="0" w:noVBand="1"/>
      </w:tblPr>
      <w:tblGrid>
        <w:gridCol w:w="4508"/>
        <w:gridCol w:w="4508"/>
      </w:tblGrid>
      <w:tr w:rsidR="007D0137" w14:paraId="6C92BF3E" w14:textId="77777777" w:rsidTr="00DF186B">
        <w:tc>
          <w:tcPr>
            <w:tcW w:w="4508" w:type="dxa"/>
            <w:tcBorders>
              <w:top w:val="single" w:sz="12" w:space="0" w:color="auto"/>
              <w:left w:val="nil"/>
              <w:bottom w:val="single" w:sz="12" w:space="0" w:color="auto"/>
              <w:right w:val="nil"/>
            </w:tcBorders>
          </w:tcPr>
          <w:p w14:paraId="076CF650" w14:textId="6111EC1C" w:rsidR="007D0137" w:rsidRDefault="009D3E62" w:rsidP="00DF186B">
            <w:pPr>
              <w:spacing w:after="0" w:line="240" w:lineRule="auto"/>
            </w:pPr>
            <w:r>
              <w:t>Intended behaviour</w:t>
            </w:r>
          </w:p>
        </w:tc>
        <w:tc>
          <w:tcPr>
            <w:tcW w:w="4508" w:type="dxa"/>
            <w:tcBorders>
              <w:top w:val="single" w:sz="12" w:space="0" w:color="auto"/>
              <w:left w:val="nil"/>
              <w:bottom w:val="single" w:sz="12" w:space="0" w:color="auto"/>
              <w:right w:val="nil"/>
            </w:tcBorders>
          </w:tcPr>
          <w:p w14:paraId="7A320911" w14:textId="77777777" w:rsidR="007D0137" w:rsidRDefault="007D0137" w:rsidP="00DF186B">
            <w:pPr>
              <w:spacing w:after="0" w:line="240" w:lineRule="auto"/>
            </w:pPr>
            <w:r>
              <w:t>N (%)</w:t>
            </w:r>
          </w:p>
        </w:tc>
      </w:tr>
      <w:tr w:rsidR="007D0137" w14:paraId="17B79330" w14:textId="77777777" w:rsidTr="00DF186B">
        <w:tc>
          <w:tcPr>
            <w:tcW w:w="4508" w:type="dxa"/>
            <w:tcBorders>
              <w:top w:val="single" w:sz="12" w:space="0" w:color="auto"/>
              <w:left w:val="nil"/>
              <w:right w:val="nil"/>
            </w:tcBorders>
          </w:tcPr>
          <w:p w14:paraId="54BFA748" w14:textId="77777777" w:rsidR="007D0137" w:rsidRDefault="007D0137" w:rsidP="00DF186B">
            <w:pPr>
              <w:spacing w:after="0" w:line="240" w:lineRule="auto"/>
            </w:pPr>
            <w:r w:rsidRPr="00FC7B3A">
              <w:t>Call NHS 111 (England, Wales, Scotland) / 0300 200 7885 (Northern Ireland)</w:t>
            </w:r>
          </w:p>
        </w:tc>
        <w:tc>
          <w:tcPr>
            <w:tcW w:w="4508" w:type="dxa"/>
            <w:tcBorders>
              <w:top w:val="single" w:sz="12" w:space="0" w:color="auto"/>
              <w:left w:val="nil"/>
              <w:right w:val="nil"/>
            </w:tcBorders>
          </w:tcPr>
          <w:p w14:paraId="57815570" w14:textId="77777777" w:rsidR="007D0137" w:rsidRDefault="007D0137" w:rsidP="00DF186B">
            <w:pPr>
              <w:spacing w:after="0" w:line="240" w:lineRule="auto"/>
            </w:pPr>
            <w:r>
              <w:t>1558 (77.9)</w:t>
            </w:r>
          </w:p>
        </w:tc>
      </w:tr>
      <w:tr w:rsidR="007D0137" w14:paraId="1916BFC5" w14:textId="77777777" w:rsidTr="00DF186B">
        <w:tc>
          <w:tcPr>
            <w:tcW w:w="4508" w:type="dxa"/>
            <w:tcBorders>
              <w:left w:val="nil"/>
              <w:right w:val="nil"/>
            </w:tcBorders>
          </w:tcPr>
          <w:p w14:paraId="789668AF" w14:textId="77777777" w:rsidR="007D0137" w:rsidRDefault="007D0137" w:rsidP="00DF186B">
            <w:pPr>
              <w:spacing w:after="0" w:line="240" w:lineRule="auto"/>
            </w:pPr>
            <w:r w:rsidRPr="00A24CB7">
              <w:t>Try to stay at home and avoid contact with other people</w:t>
            </w:r>
          </w:p>
        </w:tc>
        <w:tc>
          <w:tcPr>
            <w:tcW w:w="4508" w:type="dxa"/>
            <w:tcBorders>
              <w:left w:val="nil"/>
              <w:right w:val="nil"/>
            </w:tcBorders>
          </w:tcPr>
          <w:p w14:paraId="3D3AF005" w14:textId="77777777" w:rsidR="007D0137" w:rsidRDefault="007D0137" w:rsidP="00DF186B">
            <w:pPr>
              <w:spacing w:after="0" w:line="240" w:lineRule="auto"/>
            </w:pPr>
            <w:r>
              <w:t>1303 (65.1)</w:t>
            </w:r>
          </w:p>
        </w:tc>
      </w:tr>
      <w:tr w:rsidR="007D0137" w14:paraId="0349111F" w14:textId="77777777" w:rsidTr="00DF186B">
        <w:tc>
          <w:tcPr>
            <w:tcW w:w="4508" w:type="dxa"/>
            <w:tcBorders>
              <w:left w:val="nil"/>
              <w:right w:val="nil"/>
            </w:tcBorders>
          </w:tcPr>
          <w:p w14:paraId="18C794C7" w14:textId="77777777" w:rsidR="007D0137" w:rsidRDefault="007D0137" w:rsidP="00DF186B">
            <w:pPr>
              <w:tabs>
                <w:tab w:val="left" w:pos="1252"/>
              </w:tabs>
              <w:spacing w:after="0" w:line="240" w:lineRule="auto"/>
            </w:pPr>
            <w:r w:rsidRPr="007A1B22">
              <w:t>Speak to a GP or another healthcare professional on the phone</w:t>
            </w:r>
            <w:r>
              <w:tab/>
            </w:r>
          </w:p>
        </w:tc>
        <w:tc>
          <w:tcPr>
            <w:tcW w:w="4508" w:type="dxa"/>
            <w:tcBorders>
              <w:left w:val="nil"/>
              <w:right w:val="nil"/>
            </w:tcBorders>
          </w:tcPr>
          <w:p w14:paraId="3BA35037" w14:textId="77777777" w:rsidR="007D0137" w:rsidRDefault="007D0137" w:rsidP="00DF186B">
            <w:pPr>
              <w:spacing w:after="0" w:line="240" w:lineRule="auto"/>
            </w:pPr>
            <w:r>
              <w:t>609 (30.4)</w:t>
            </w:r>
          </w:p>
        </w:tc>
      </w:tr>
      <w:tr w:rsidR="007D0137" w14:paraId="507A3C44" w14:textId="77777777" w:rsidTr="00DF186B">
        <w:tc>
          <w:tcPr>
            <w:tcW w:w="4508" w:type="dxa"/>
            <w:tcBorders>
              <w:left w:val="nil"/>
              <w:right w:val="nil"/>
            </w:tcBorders>
          </w:tcPr>
          <w:p w14:paraId="25227C26" w14:textId="77777777" w:rsidR="007D0137" w:rsidRDefault="007D0137" w:rsidP="00DF186B">
            <w:pPr>
              <w:spacing w:after="0" w:line="240" w:lineRule="auto"/>
            </w:pPr>
            <w:r w:rsidRPr="00983913">
              <w:t>Look online for advice</w:t>
            </w:r>
          </w:p>
        </w:tc>
        <w:tc>
          <w:tcPr>
            <w:tcW w:w="4508" w:type="dxa"/>
            <w:tcBorders>
              <w:left w:val="nil"/>
              <w:right w:val="nil"/>
            </w:tcBorders>
          </w:tcPr>
          <w:p w14:paraId="370185E4" w14:textId="77777777" w:rsidR="007D0137" w:rsidRDefault="007D0137" w:rsidP="00DF186B">
            <w:pPr>
              <w:spacing w:after="0" w:line="240" w:lineRule="auto"/>
            </w:pPr>
            <w:r>
              <w:t>524 (26.2)</w:t>
            </w:r>
          </w:p>
        </w:tc>
      </w:tr>
      <w:tr w:rsidR="007D0137" w14:paraId="3D614B5A" w14:textId="77777777" w:rsidTr="00DF186B">
        <w:tc>
          <w:tcPr>
            <w:tcW w:w="4508" w:type="dxa"/>
            <w:tcBorders>
              <w:left w:val="nil"/>
              <w:right w:val="nil"/>
            </w:tcBorders>
          </w:tcPr>
          <w:p w14:paraId="7C66DEA2" w14:textId="77777777" w:rsidR="007D0137" w:rsidRDefault="007D0137" w:rsidP="00DF186B">
            <w:pPr>
              <w:spacing w:after="0" w:line="240" w:lineRule="auto"/>
            </w:pPr>
            <w:r w:rsidRPr="00932B1E">
              <w:t>Take over the counter medicine, such as painkillers or cold and flu medicine</w:t>
            </w:r>
          </w:p>
        </w:tc>
        <w:tc>
          <w:tcPr>
            <w:tcW w:w="4508" w:type="dxa"/>
            <w:tcBorders>
              <w:left w:val="nil"/>
              <w:right w:val="nil"/>
            </w:tcBorders>
          </w:tcPr>
          <w:p w14:paraId="1177D634" w14:textId="77777777" w:rsidR="007D0137" w:rsidRDefault="007D0137" w:rsidP="00DF186B">
            <w:pPr>
              <w:spacing w:after="0" w:line="240" w:lineRule="auto"/>
            </w:pPr>
            <w:r>
              <w:t>391 (19.5)</w:t>
            </w:r>
          </w:p>
        </w:tc>
      </w:tr>
      <w:tr w:rsidR="007D0137" w14:paraId="3D5581FD" w14:textId="77777777" w:rsidTr="00DF186B">
        <w:tc>
          <w:tcPr>
            <w:tcW w:w="4508" w:type="dxa"/>
            <w:tcBorders>
              <w:left w:val="nil"/>
              <w:right w:val="nil"/>
            </w:tcBorders>
          </w:tcPr>
          <w:p w14:paraId="589499F4" w14:textId="77777777" w:rsidR="007D0137" w:rsidRDefault="007D0137" w:rsidP="00DF186B">
            <w:pPr>
              <w:spacing w:after="0" w:line="240" w:lineRule="auto"/>
            </w:pPr>
            <w:r w:rsidRPr="00790722">
              <w:t>Ask family or friends for advice</w:t>
            </w:r>
          </w:p>
        </w:tc>
        <w:tc>
          <w:tcPr>
            <w:tcW w:w="4508" w:type="dxa"/>
            <w:tcBorders>
              <w:left w:val="nil"/>
              <w:right w:val="nil"/>
            </w:tcBorders>
          </w:tcPr>
          <w:p w14:paraId="57E312CF" w14:textId="77777777" w:rsidR="007D0137" w:rsidRDefault="007D0137" w:rsidP="00DF186B">
            <w:pPr>
              <w:spacing w:after="0" w:line="240" w:lineRule="auto"/>
            </w:pPr>
            <w:r>
              <w:t>99 (4.9)</w:t>
            </w:r>
          </w:p>
        </w:tc>
      </w:tr>
      <w:tr w:rsidR="007D0137" w14:paraId="186A6C52" w14:textId="77777777" w:rsidTr="00DF186B">
        <w:tc>
          <w:tcPr>
            <w:tcW w:w="4508" w:type="dxa"/>
            <w:tcBorders>
              <w:left w:val="nil"/>
              <w:right w:val="nil"/>
            </w:tcBorders>
          </w:tcPr>
          <w:p w14:paraId="1468AB3E" w14:textId="77777777" w:rsidR="007D0137" w:rsidRDefault="007D0137" w:rsidP="00DF186B">
            <w:pPr>
              <w:spacing w:after="0" w:line="240" w:lineRule="auto"/>
            </w:pPr>
            <w:r w:rsidRPr="00C53FC7">
              <w:t>Book a face-to-face appointment with my GP</w:t>
            </w:r>
          </w:p>
        </w:tc>
        <w:tc>
          <w:tcPr>
            <w:tcW w:w="4508" w:type="dxa"/>
            <w:tcBorders>
              <w:left w:val="nil"/>
              <w:right w:val="nil"/>
            </w:tcBorders>
          </w:tcPr>
          <w:p w14:paraId="0E7E2552" w14:textId="77777777" w:rsidR="007D0137" w:rsidRDefault="007D0137" w:rsidP="00DF186B">
            <w:pPr>
              <w:spacing w:after="0" w:line="240" w:lineRule="auto"/>
            </w:pPr>
            <w:r>
              <w:t>75 (3.7)</w:t>
            </w:r>
          </w:p>
        </w:tc>
      </w:tr>
      <w:tr w:rsidR="007D0137" w14:paraId="32B25DA8" w14:textId="77777777" w:rsidTr="00DF186B">
        <w:tc>
          <w:tcPr>
            <w:tcW w:w="4508" w:type="dxa"/>
            <w:tcBorders>
              <w:left w:val="nil"/>
              <w:right w:val="nil"/>
            </w:tcBorders>
          </w:tcPr>
          <w:p w14:paraId="45CA3BBD" w14:textId="77777777" w:rsidR="007D0137" w:rsidRDefault="007D0137" w:rsidP="00DF186B">
            <w:pPr>
              <w:spacing w:after="0" w:line="240" w:lineRule="auto"/>
            </w:pPr>
            <w:r w:rsidRPr="00FB5B8B">
              <w:t>Call 999 / ambulance service</w:t>
            </w:r>
          </w:p>
        </w:tc>
        <w:tc>
          <w:tcPr>
            <w:tcW w:w="4508" w:type="dxa"/>
            <w:tcBorders>
              <w:left w:val="nil"/>
              <w:right w:val="nil"/>
            </w:tcBorders>
          </w:tcPr>
          <w:p w14:paraId="7A62931B" w14:textId="77777777" w:rsidR="007D0137" w:rsidRDefault="007D0137" w:rsidP="00DF186B">
            <w:pPr>
              <w:spacing w:after="0" w:line="240" w:lineRule="auto"/>
            </w:pPr>
            <w:r>
              <w:t>68 (3.4)</w:t>
            </w:r>
          </w:p>
        </w:tc>
      </w:tr>
      <w:tr w:rsidR="007D0137" w14:paraId="5D945CCD" w14:textId="77777777" w:rsidTr="00DF186B">
        <w:tc>
          <w:tcPr>
            <w:tcW w:w="4508" w:type="dxa"/>
            <w:tcBorders>
              <w:left w:val="nil"/>
              <w:right w:val="nil"/>
            </w:tcBorders>
          </w:tcPr>
          <w:p w14:paraId="7FBFD0C4" w14:textId="77777777" w:rsidR="007D0137" w:rsidRDefault="007D0137" w:rsidP="00DF186B">
            <w:pPr>
              <w:spacing w:after="0" w:line="240" w:lineRule="auto"/>
            </w:pPr>
            <w:r w:rsidRPr="006D4BE6">
              <w:t>Visit another NHS service such as a walk-in centre or minor injuries unit</w:t>
            </w:r>
          </w:p>
        </w:tc>
        <w:tc>
          <w:tcPr>
            <w:tcW w:w="4508" w:type="dxa"/>
            <w:tcBorders>
              <w:left w:val="nil"/>
              <w:right w:val="nil"/>
            </w:tcBorders>
          </w:tcPr>
          <w:p w14:paraId="7CB8EE21" w14:textId="77777777" w:rsidR="007D0137" w:rsidRDefault="007D0137" w:rsidP="00DF186B">
            <w:pPr>
              <w:spacing w:after="0" w:line="240" w:lineRule="auto"/>
            </w:pPr>
            <w:r>
              <w:t>36 (1.8)</w:t>
            </w:r>
          </w:p>
        </w:tc>
      </w:tr>
      <w:tr w:rsidR="007D0137" w14:paraId="40D357A1" w14:textId="77777777" w:rsidTr="00DF186B">
        <w:tc>
          <w:tcPr>
            <w:tcW w:w="4508" w:type="dxa"/>
            <w:tcBorders>
              <w:left w:val="nil"/>
              <w:right w:val="nil"/>
            </w:tcBorders>
          </w:tcPr>
          <w:p w14:paraId="1FB90535" w14:textId="77777777" w:rsidR="007D0137" w:rsidRDefault="007D0137" w:rsidP="00DF186B">
            <w:pPr>
              <w:spacing w:after="0" w:line="240" w:lineRule="auto"/>
            </w:pPr>
            <w:r w:rsidRPr="00D612ED">
              <w:t>Go to A&amp;E</w:t>
            </w:r>
          </w:p>
        </w:tc>
        <w:tc>
          <w:tcPr>
            <w:tcW w:w="4508" w:type="dxa"/>
            <w:tcBorders>
              <w:left w:val="nil"/>
              <w:right w:val="nil"/>
            </w:tcBorders>
          </w:tcPr>
          <w:p w14:paraId="180988D7" w14:textId="77777777" w:rsidR="007D0137" w:rsidRDefault="007D0137" w:rsidP="00DF186B">
            <w:pPr>
              <w:spacing w:after="0" w:line="240" w:lineRule="auto"/>
            </w:pPr>
            <w:r>
              <w:t>51 (2.5)</w:t>
            </w:r>
          </w:p>
        </w:tc>
      </w:tr>
      <w:tr w:rsidR="007D0137" w14:paraId="45823076" w14:textId="77777777" w:rsidTr="00DF186B">
        <w:tc>
          <w:tcPr>
            <w:tcW w:w="4508" w:type="dxa"/>
            <w:tcBorders>
              <w:left w:val="nil"/>
              <w:right w:val="nil"/>
            </w:tcBorders>
          </w:tcPr>
          <w:p w14:paraId="06D585D2" w14:textId="77777777" w:rsidR="007D0137" w:rsidRDefault="007D0137" w:rsidP="00DF186B">
            <w:pPr>
              <w:spacing w:after="0" w:line="240" w:lineRule="auto"/>
            </w:pPr>
            <w:r w:rsidRPr="00B97E6D">
              <w:t>Visit a Pharmacist/Chemist for advice</w:t>
            </w:r>
          </w:p>
        </w:tc>
        <w:tc>
          <w:tcPr>
            <w:tcW w:w="4508" w:type="dxa"/>
            <w:tcBorders>
              <w:left w:val="nil"/>
              <w:right w:val="nil"/>
            </w:tcBorders>
          </w:tcPr>
          <w:p w14:paraId="487B83F5" w14:textId="77777777" w:rsidR="007D0137" w:rsidRDefault="007D0137" w:rsidP="00DF186B">
            <w:pPr>
              <w:spacing w:after="0" w:line="240" w:lineRule="auto"/>
            </w:pPr>
            <w:r>
              <w:t>55 (2.7)</w:t>
            </w:r>
          </w:p>
        </w:tc>
      </w:tr>
      <w:tr w:rsidR="007D0137" w14:paraId="5328CA23" w14:textId="77777777" w:rsidTr="00DF186B">
        <w:tc>
          <w:tcPr>
            <w:tcW w:w="4508" w:type="dxa"/>
            <w:tcBorders>
              <w:left w:val="nil"/>
              <w:right w:val="nil"/>
            </w:tcBorders>
          </w:tcPr>
          <w:p w14:paraId="2E89EC45" w14:textId="77777777" w:rsidR="007D0137" w:rsidRDefault="007D0137" w:rsidP="00DF186B">
            <w:pPr>
              <w:spacing w:after="0" w:line="240" w:lineRule="auto"/>
            </w:pPr>
            <w:r w:rsidRPr="00BC48F8">
              <w:t>Take alternative treatment or remedies</w:t>
            </w:r>
          </w:p>
        </w:tc>
        <w:tc>
          <w:tcPr>
            <w:tcW w:w="4508" w:type="dxa"/>
            <w:tcBorders>
              <w:left w:val="nil"/>
              <w:right w:val="nil"/>
            </w:tcBorders>
          </w:tcPr>
          <w:p w14:paraId="7C39DEE4" w14:textId="77777777" w:rsidR="007D0137" w:rsidRDefault="007D0137" w:rsidP="00DF186B">
            <w:pPr>
              <w:spacing w:after="0" w:line="240" w:lineRule="auto"/>
            </w:pPr>
            <w:r>
              <w:t>78 (3.9)</w:t>
            </w:r>
          </w:p>
        </w:tc>
      </w:tr>
      <w:tr w:rsidR="007D0137" w14:paraId="41B927FE" w14:textId="77777777" w:rsidTr="00DF186B">
        <w:tc>
          <w:tcPr>
            <w:tcW w:w="4508" w:type="dxa"/>
            <w:tcBorders>
              <w:left w:val="nil"/>
              <w:right w:val="nil"/>
            </w:tcBorders>
          </w:tcPr>
          <w:p w14:paraId="5EDF7D8D" w14:textId="77777777" w:rsidR="007D0137" w:rsidRDefault="007D0137" w:rsidP="00DF186B">
            <w:pPr>
              <w:spacing w:after="0" w:line="240" w:lineRule="auto"/>
            </w:pPr>
            <w:r w:rsidRPr="007176DD">
              <w:t>Try to go to work, school, college or university as normal</w:t>
            </w:r>
          </w:p>
        </w:tc>
        <w:tc>
          <w:tcPr>
            <w:tcW w:w="4508" w:type="dxa"/>
            <w:tcBorders>
              <w:left w:val="nil"/>
              <w:right w:val="nil"/>
            </w:tcBorders>
          </w:tcPr>
          <w:p w14:paraId="3EE06616" w14:textId="77777777" w:rsidR="007D0137" w:rsidRDefault="007D0137" w:rsidP="00DF186B">
            <w:pPr>
              <w:spacing w:after="0" w:line="240" w:lineRule="auto"/>
            </w:pPr>
            <w:r>
              <w:t>26 (1.3)</w:t>
            </w:r>
          </w:p>
        </w:tc>
      </w:tr>
      <w:tr w:rsidR="007D0137" w14:paraId="7ABF26CB" w14:textId="77777777" w:rsidTr="00DF186B">
        <w:tc>
          <w:tcPr>
            <w:tcW w:w="4508" w:type="dxa"/>
            <w:tcBorders>
              <w:left w:val="nil"/>
              <w:right w:val="nil"/>
            </w:tcBorders>
          </w:tcPr>
          <w:p w14:paraId="7740187B" w14:textId="77777777" w:rsidR="007D0137" w:rsidRDefault="007D0137" w:rsidP="00DF186B">
            <w:pPr>
              <w:spacing w:after="0" w:line="240" w:lineRule="auto"/>
            </w:pPr>
            <w:r>
              <w:t>Don’t know (SINGLE CODE)</w:t>
            </w:r>
          </w:p>
        </w:tc>
        <w:tc>
          <w:tcPr>
            <w:tcW w:w="4508" w:type="dxa"/>
            <w:tcBorders>
              <w:left w:val="nil"/>
              <w:right w:val="nil"/>
            </w:tcBorders>
          </w:tcPr>
          <w:p w14:paraId="70F82562" w14:textId="77777777" w:rsidR="007D0137" w:rsidRDefault="007D0137" w:rsidP="00DF186B">
            <w:pPr>
              <w:spacing w:after="0" w:line="240" w:lineRule="auto"/>
            </w:pPr>
            <w:r>
              <w:t>30 (1.5)</w:t>
            </w:r>
          </w:p>
        </w:tc>
      </w:tr>
      <w:tr w:rsidR="007D0137" w14:paraId="3576299B" w14:textId="77777777" w:rsidTr="00DF186B">
        <w:tc>
          <w:tcPr>
            <w:tcW w:w="4508" w:type="dxa"/>
            <w:tcBorders>
              <w:left w:val="nil"/>
              <w:bottom w:val="single" w:sz="12" w:space="0" w:color="auto"/>
              <w:right w:val="nil"/>
            </w:tcBorders>
          </w:tcPr>
          <w:p w14:paraId="1240463D" w14:textId="77777777" w:rsidR="007D0137" w:rsidRDefault="007D0137" w:rsidP="00DF186B">
            <w:pPr>
              <w:spacing w:after="0" w:line="240" w:lineRule="auto"/>
            </w:pPr>
            <w:r w:rsidRPr="00A21E1C">
              <w:t>Nothing (SINGLE CODE)</w:t>
            </w:r>
          </w:p>
        </w:tc>
        <w:tc>
          <w:tcPr>
            <w:tcW w:w="4508" w:type="dxa"/>
            <w:tcBorders>
              <w:left w:val="nil"/>
              <w:right w:val="nil"/>
            </w:tcBorders>
          </w:tcPr>
          <w:p w14:paraId="46D35BD1" w14:textId="77777777" w:rsidR="007D0137" w:rsidRDefault="007D0137" w:rsidP="00DF186B">
            <w:pPr>
              <w:spacing w:after="0" w:line="240" w:lineRule="auto"/>
            </w:pPr>
            <w:r>
              <w:t>17 (0.8)</w:t>
            </w:r>
          </w:p>
        </w:tc>
      </w:tr>
      <w:tr w:rsidR="007D0137" w14:paraId="204AABCE" w14:textId="77777777" w:rsidTr="00DF186B">
        <w:tc>
          <w:tcPr>
            <w:tcW w:w="9016" w:type="dxa"/>
            <w:gridSpan w:val="2"/>
            <w:tcBorders>
              <w:top w:val="single" w:sz="12" w:space="0" w:color="auto"/>
              <w:left w:val="nil"/>
              <w:right w:val="nil"/>
            </w:tcBorders>
          </w:tcPr>
          <w:p w14:paraId="1127007E" w14:textId="77777777" w:rsidR="007D0137" w:rsidRDefault="007D0137" w:rsidP="00DF186B">
            <w:pPr>
              <w:spacing w:after="0" w:line="240" w:lineRule="auto"/>
            </w:pPr>
            <w:r w:rsidRPr="00EC63AA">
              <w:rPr>
                <w:i/>
                <w:iCs/>
              </w:rPr>
              <w:t>Binary variable – help-seeking behaviour (n=1860)</w:t>
            </w:r>
          </w:p>
        </w:tc>
      </w:tr>
      <w:tr w:rsidR="007D0137" w14:paraId="20B67309" w14:textId="77777777" w:rsidTr="00DF186B">
        <w:tc>
          <w:tcPr>
            <w:tcW w:w="4508" w:type="dxa"/>
            <w:tcBorders>
              <w:left w:val="nil"/>
              <w:right w:val="nil"/>
            </w:tcBorders>
          </w:tcPr>
          <w:p w14:paraId="6BADC2FE" w14:textId="77777777" w:rsidR="007D0137" w:rsidRDefault="007D0137" w:rsidP="00DF186B">
            <w:pPr>
              <w:spacing w:after="0" w:line="240" w:lineRule="auto"/>
            </w:pPr>
            <w:r>
              <w:t>Remotely</w:t>
            </w:r>
          </w:p>
        </w:tc>
        <w:tc>
          <w:tcPr>
            <w:tcW w:w="4508" w:type="dxa"/>
            <w:tcBorders>
              <w:left w:val="nil"/>
              <w:right w:val="nil"/>
            </w:tcBorders>
          </w:tcPr>
          <w:p w14:paraId="041E7D38" w14:textId="77777777" w:rsidR="007D0137" w:rsidRDefault="007D0137" w:rsidP="00DF186B">
            <w:pPr>
              <w:spacing w:after="0" w:line="240" w:lineRule="auto"/>
            </w:pPr>
            <w:r>
              <w:t>1682 (90.4)</w:t>
            </w:r>
          </w:p>
        </w:tc>
      </w:tr>
      <w:tr w:rsidR="007D0137" w14:paraId="349E2A65" w14:textId="77777777" w:rsidTr="00DF186B">
        <w:tc>
          <w:tcPr>
            <w:tcW w:w="4508" w:type="dxa"/>
            <w:tcBorders>
              <w:left w:val="nil"/>
              <w:bottom w:val="single" w:sz="12" w:space="0" w:color="auto"/>
              <w:right w:val="nil"/>
            </w:tcBorders>
          </w:tcPr>
          <w:p w14:paraId="1267E1C3" w14:textId="77777777" w:rsidR="007D0137" w:rsidRDefault="007D0137" w:rsidP="00DF186B">
            <w:pPr>
              <w:spacing w:after="0" w:line="240" w:lineRule="auto"/>
            </w:pPr>
            <w:r>
              <w:t>In person</w:t>
            </w:r>
          </w:p>
        </w:tc>
        <w:tc>
          <w:tcPr>
            <w:tcW w:w="4508" w:type="dxa"/>
            <w:tcBorders>
              <w:left w:val="nil"/>
              <w:bottom w:val="single" w:sz="12" w:space="0" w:color="auto"/>
              <w:right w:val="nil"/>
            </w:tcBorders>
          </w:tcPr>
          <w:p w14:paraId="364C9FE0" w14:textId="77777777" w:rsidR="007D0137" w:rsidRDefault="007D0137" w:rsidP="00DF186B">
            <w:pPr>
              <w:spacing w:after="0" w:line="240" w:lineRule="auto"/>
            </w:pPr>
            <w:r>
              <w:t>178 (9.6)</w:t>
            </w:r>
          </w:p>
        </w:tc>
      </w:tr>
    </w:tbl>
    <w:p w14:paraId="4348CCAC" w14:textId="77777777" w:rsidR="00627C1E" w:rsidRDefault="00627C1E" w:rsidP="00DF186B">
      <w:pPr>
        <w:rPr>
          <w:i/>
          <w:iCs/>
        </w:rPr>
      </w:pPr>
    </w:p>
    <w:p w14:paraId="6CF69900" w14:textId="4D6553B3" w:rsidR="00DF186B" w:rsidRPr="00DF186B" w:rsidRDefault="00DF186B" w:rsidP="00DF186B">
      <w:pPr>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br w:type="page"/>
      </w:r>
    </w:p>
    <w:p w14:paraId="67E7ED94" w14:textId="77777777" w:rsidR="00DF186B" w:rsidRDefault="00DF186B" w:rsidP="00DF186B">
      <w:pPr>
        <w:sectPr w:rsidR="00DF186B" w:rsidSect="00627C1E">
          <w:headerReference w:type="default" r:id="rId11"/>
          <w:pgSz w:w="11906" w:h="16838"/>
          <w:pgMar w:top="1440" w:right="1440" w:bottom="1440" w:left="1440" w:header="709" w:footer="709" w:gutter="0"/>
          <w:cols w:space="708"/>
          <w:docGrid w:linePitch="360"/>
        </w:sectPr>
      </w:pPr>
    </w:p>
    <w:p w14:paraId="4A4CA04D" w14:textId="681E27C0" w:rsidR="00DF186B" w:rsidRPr="00680D50" w:rsidRDefault="00DF186B" w:rsidP="00DF186B">
      <w:pPr>
        <w:rPr>
          <w:i/>
          <w:iCs/>
        </w:rPr>
      </w:pPr>
      <w:r>
        <w:lastRenderedPageBreak/>
        <w:t>Datasets used:</w:t>
      </w:r>
    </w:p>
    <w:p w14:paraId="78AE8DB3" w14:textId="77777777" w:rsidR="00DF186B" w:rsidRDefault="00DF186B" w:rsidP="00DF186B">
      <w:pPr>
        <w:pStyle w:val="ListParagraph"/>
        <w:numPr>
          <w:ilvl w:val="0"/>
          <w:numId w:val="8"/>
        </w:numPr>
        <w:spacing w:after="120"/>
      </w:pPr>
      <w:r>
        <w:t>Department of Health and Social Care weekly tracker</w:t>
      </w:r>
    </w:p>
    <w:p w14:paraId="5B7F0329" w14:textId="77777777" w:rsidR="00DF186B" w:rsidRDefault="00DF186B" w:rsidP="00DF186B">
      <w:pPr>
        <w:pStyle w:val="ListParagraph"/>
        <w:numPr>
          <w:ilvl w:val="1"/>
          <w:numId w:val="8"/>
        </w:numPr>
        <w:spacing w:after="120"/>
      </w:pPr>
      <w:r>
        <w:t>Tracking DHSC marketing, coronavirus attitudes, beliefs, knowledge, reported behaviour, satisfaction with Government response, credibility of Government.</w:t>
      </w:r>
    </w:p>
    <w:p w14:paraId="32A934E8" w14:textId="77777777" w:rsidR="00DF186B" w:rsidRDefault="00DF186B" w:rsidP="00DF186B">
      <w:pPr>
        <w:pStyle w:val="ListParagraph"/>
        <w:numPr>
          <w:ilvl w:val="1"/>
          <w:numId w:val="8"/>
        </w:numPr>
        <w:spacing w:after="120"/>
      </w:pPr>
      <w:r>
        <w:t>Data collected weekly (Monday to Wednesday) since late January.</w:t>
      </w:r>
    </w:p>
    <w:p w14:paraId="205F692C" w14:textId="77777777" w:rsidR="00DF186B" w:rsidRDefault="00DF186B" w:rsidP="00DF186B">
      <w:pPr>
        <w:pStyle w:val="ListParagraph"/>
        <w:numPr>
          <w:ilvl w:val="1"/>
          <w:numId w:val="8"/>
        </w:numPr>
        <w:spacing w:after="120"/>
      </w:pPr>
      <w:r>
        <w:t>N~2000 per wave.</w:t>
      </w:r>
    </w:p>
    <w:p w14:paraId="07527C01" w14:textId="77777777" w:rsidR="00DF186B" w:rsidRDefault="00DF186B" w:rsidP="00DF186B">
      <w:pPr>
        <w:pStyle w:val="ListParagraph"/>
        <w:numPr>
          <w:ilvl w:val="1"/>
          <w:numId w:val="8"/>
        </w:numPr>
        <w:spacing w:after="120"/>
      </w:pPr>
      <w:r>
        <w:t>Market research company commissioned: BMG Research.</w:t>
      </w:r>
    </w:p>
    <w:p w14:paraId="026BDCA0" w14:textId="77777777" w:rsidR="00DF186B" w:rsidRPr="00E40198" w:rsidRDefault="00DF186B" w:rsidP="00DF186B">
      <w:pPr>
        <w:pStyle w:val="ListParagraph"/>
        <w:numPr>
          <w:ilvl w:val="1"/>
          <w:numId w:val="8"/>
        </w:numPr>
        <w:spacing w:after="120"/>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7EFBAAAE" w14:textId="77777777" w:rsidR="00DF186B" w:rsidRDefault="00DF186B" w:rsidP="00DF186B"/>
    <w:p w14:paraId="17CFDD23" w14:textId="77777777" w:rsidR="00DF186B" w:rsidRDefault="00DF186B" w:rsidP="00DF186B">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1C633EF1" w14:textId="77777777" w:rsidR="00DF186B" w:rsidRDefault="00DF186B" w:rsidP="00DF186B">
      <w:pPr>
        <w:pStyle w:val="Footer"/>
      </w:pPr>
    </w:p>
    <w:p w14:paraId="1803FA03" w14:textId="5BEA0A82" w:rsidR="004122D9" w:rsidRDefault="00DF186B" w:rsidP="00627C1E">
      <w:pPr>
        <w:pStyle w:val="Footer"/>
      </w:pPr>
      <w:r>
        <w:t xml:space="preserve">Contact details: </w:t>
      </w:r>
      <w:hyperlink r:id="rId12" w:history="1">
        <w:r w:rsidRPr="00506342">
          <w:rPr>
            <w:rStyle w:val="Hyperlink"/>
          </w:rPr>
          <w:t>louise.e.smith@kcl.ac.uk</w:t>
        </w:r>
      </w:hyperlink>
      <w:r>
        <w:t xml:space="preserve">, </w:t>
      </w:r>
      <w:hyperlink r:id="rId13" w:history="1">
        <w:r w:rsidRPr="00C3347A">
          <w:rPr>
            <w:rStyle w:val="Hyperlink"/>
          </w:rPr>
          <w:t>richard.amlot@phe.gov.uk</w:t>
        </w:r>
      </w:hyperlink>
      <w:r>
        <w:t xml:space="preserve">, </w:t>
      </w:r>
      <w:hyperlink r:id="rId14" w:history="1">
        <w:r>
          <w:rPr>
            <w:rStyle w:val="Hyperlink"/>
          </w:rPr>
          <w:t>g</w:t>
        </w:r>
        <w:r w:rsidRPr="00506342">
          <w:rPr>
            <w:rStyle w:val="Hyperlink"/>
          </w:rPr>
          <w:t>ideon.rubin@kcl.ac.uk</w:t>
        </w:r>
      </w:hyperlink>
      <w:r>
        <w:t xml:space="preserve"> </w:t>
      </w:r>
    </w:p>
    <w:sectPr w:rsidR="004122D9" w:rsidSect="00627C1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9787" w14:textId="77777777" w:rsidR="00DF186B" w:rsidRDefault="00DF186B" w:rsidP="00DF186B">
      <w:pPr>
        <w:spacing w:after="0" w:line="240" w:lineRule="auto"/>
      </w:pPr>
      <w:r>
        <w:separator/>
      </w:r>
    </w:p>
  </w:endnote>
  <w:endnote w:type="continuationSeparator" w:id="0">
    <w:p w14:paraId="5F46D1B4" w14:textId="77777777" w:rsidR="00DF186B" w:rsidRDefault="00DF186B" w:rsidP="00DF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9018" w14:textId="77777777" w:rsidR="00DF186B" w:rsidRDefault="00DF186B" w:rsidP="00DF186B">
      <w:pPr>
        <w:spacing w:after="0" w:line="240" w:lineRule="auto"/>
      </w:pPr>
      <w:r>
        <w:separator/>
      </w:r>
    </w:p>
  </w:footnote>
  <w:footnote w:type="continuationSeparator" w:id="0">
    <w:p w14:paraId="3CDA6E26" w14:textId="77777777" w:rsidR="00DF186B" w:rsidRDefault="00DF186B" w:rsidP="00DF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2397" w14:textId="5D32791B" w:rsidR="00DF186B" w:rsidRDefault="00DF186B" w:rsidP="00DF186B">
    <w:pPr>
      <w:pStyle w:val="Header"/>
      <w:tabs>
        <w:tab w:val="clear" w:pos="4513"/>
        <w:tab w:val="clear" w:pos="9026"/>
        <w:tab w:val="left" w:pos="1402"/>
      </w:tabs>
    </w:pPr>
    <w:r>
      <w:rPr>
        <w:noProof/>
      </w:rPr>
      <w:drawing>
        <wp:anchor distT="0" distB="0" distL="114300" distR="114300" simplePos="0" relativeHeight="251661312" behindDoc="0" locked="0" layoutInCell="1" allowOverlap="1" wp14:anchorId="5EACD22C" wp14:editId="54F0DF52">
          <wp:simplePos x="0" y="0"/>
          <wp:positionH relativeFrom="column">
            <wp:posOffset>2101983</wp:posOffset>
          </wp:positionH>
          <wp:positionV relativeFrom="paragraph">
            <wp:posOffset>15299</wp:posOffset>
          </wp:positionV>
          <wp:extent cx="2381250" cy="563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88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361E3E18" wp14:editId="7B84105B">
          <wp:simplePos x="0" y="0"/>
          <wp:positionH relativeFrom="column">
            <wp:posOffset>-564175</wp:posOffset>
          </wp:positionH>
          <wp:positionV relativeFrom="paragraph">
            <wp:posOffset>137795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C6AE84F" wp14:editId="298D605B">
          <wp:simplePos x="0" y="0"/>
          <wp:positionH relativeFrom="column">
            <wp:posOffset>5366716</wp:posOffset>
          </wp:positionH>
          <wp:positionV relativeFrom="paragraph">
            <wp:posOffset>-233156</wp:posOffset>
          </wp:positionV>
          <wp:extent cx="909955" cy="111633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9955" cy="1116330"/>
                  </a:xfrm>
                  <a:prstGeom prst="rect">
                    <a:avLst/>
                  </a:prstGeom>
                  <a:noFill/>
                  <a:ln>
                    <a:noFill/>
                  </a:ln>
                </pic:spPr>
              </pic:pic>
            </a:graphicData>
          </a:graphic>
        </wp:anchor>
      </w:drawing>
    </w:r>
    <w:r>
      <w:tab/>
    </w:r>
  </w:p>
  <w:p w14:paraId="1BAB2207" w14:textId="3891E87E" w:rsidR="00DF186B" w:rsidRDefault="00DF186B" w:rsidP="00DF186B">
    <w:pPr>
      <w:pStyle w:val="Header"/>
      <w:tabs>
        <w:tab w:val="clear" w:pos="4513"/>
        <w:tab w:val="clear" w:pos="9026"/>
        <w:tab w:val="left" w:pos="1402"/>
      </w:tabs>
    </w:pPr>
  </w:p>
  <w:p w14:paraId="6D95EEDA" w14:textId="5C5AB7E6" w:rsidR="00DF186B" w:rsidRDefault="00DF186B" w:rsidP="00DF186B">
    <w:pPr>
      <w:pStyle w:val="Header"/>
      <w:tabs>
        <w:tab w:val="clear" w:pos="4513"/>
        <w:tab w:val="clear" w:pos="9026"/>
        <w:tab w:val="left" w:pos="1402"/>
      </w:tabs>
    </w:pPr>
  </w:p>
  <w:p w14:paraId="0B4D283A" w14:textId="47657D88" w:rsidR="00DF186B" w:rsidRDefault="00DF186B" w:rsidP="00DF186B">
    <w:pPr>
      <w:pStyle w:val="Header"/>
      <w:tabs>
        <w:tab w:val="clear" w:pos="4513"/>
        <w:tab w:val="clear" w:pos="9026"/>
        <w:tab w:val="left" w:pos="1402"/>
      </w:tabs>
    </w:pPr>
  </w:p>
  <w:p w14:paraId="4E6B168E" w14:textId="77777777" w:rsidR="00DF186B" w:rsidRDefault="00DF186B" w:rsidP="00DF186B">
    <w:pPr>
      <w:pStyle w:val="Header"/>
      <w:tabs>
        <w:tab w:val="clear" w:pos="4513"/>
        <w:tab w:val="clear" w:pos="9026"/>
        <w:tab w:val="left" w:pos="1402"/>
      </w:tabs>
    </w:pPr>
  </w:p>
  <w:p w14:paraId="130EC686" w14:textId="77777777" w:rsidR="00DF186B" w:rsidRDefault="00DF186B" w:rsidP="00DF186B">
    <w:pPr>
      <w:pStyle w:val="Header"/>
      <w:tabs>
        <w:tab w:val="clear" w:pos="4513"/>
        <w:tab w:val="clear" w:pos="9026"/>
        <w:tab w:val="left" w:pos="1402"/>
      </w:tabs>
    </w:pPr>
  </w:p>
  <w:p w14:paraId="3A9FE38F" w14:textId="322CCA3A" w:rsidR="00DF186B" w:rsidRDefault="00DF186B" w:rsidP="00DF186B">
    <w:pPr>
      <w:pStyle w:val="Header"/>
      <w:tabs>
        <w:tab w:val="clear" w:pos="4513"/>
        <w:tab w:val="clear" w:pos="9026"/>
        <w:tab w:val="left" w:pos="1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42E3"/>
    <w:multiLevelType w:val="hybridMultilevel"/>
    <w:tmpl w:val="1024A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4166F"/>
    <w:multiLevelType w:val="hybridMultilevel"/>
    <w:tmpl w:val="85E8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36DB6"/>
    <w:multiLevelType w:val="hybridMultilevel"/>
    <w:tmpl w:val="5BFC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07AB4"/>
    <w:multiLevelType w:val="hybridMultilevel"/>
    <w:tmpl w:val="DF4E5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1781F"/>
    <w:multiLevelType w:val="hybridMultilevel"/>
    <w:tmpl w:val="016E446C"/>
    <w:lvl w:ilvl="0" w:tplc="184C8CEE">
      <w:start w:val="1"/>
      <w:numFmt w:val="decimal"/>
      <w:lvlText w:val="%1."/>
      <w:lvlJc w:val="left"/>
      <w:pPr>
        <w:ind w:left="720" w:hanging="360"/>
      </w:pPr>
      <w:rPr>
        <w:rFonts w:eastAsiaTheme="minorHAnsi" w:hint="default"/>
        <w:b w:val="0"/>
        <w:i w:val="0"/>
        <w:i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F0062"/>
    <w:multiLevelType w:val="hybridMultilevel"/>
    <w:tmpl w:val="B084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722FC"/>
    <w:multiLevelType w:val="hybridMultilevel"/>
    <w:tmpl w:val="59C6552A"/>
    <w:lvl w:ilvl="0" w:tplc="1D1C31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37"/>
    <w:rsid w:val="00002829"/>
    <w:rsid w:val="00010107"/>
    <w:rsid w:val="00012911"/>
    <w:rsid w:val="0001678E"/>
    <w:rsid w:val="00024E90"/>
    <w:rsid w:val="0004535B"/>
    <w:rsid w:val="000524D0"/>
    <w:rsid w:val="00060D62"/>
    <w:rsid w:val="00066D0D"/>
    <w:rsid w:val="000670EC"/>
    <w:rsid w:val="000824B6"/>
    <w:rsid w:val="0008364B"/>
    <w:rsid w:val="000A0208"/>
    <w:rsid w:val="000A418A"/>
    <w:rsid w:val="000C5B5F"/>
    <w:rsid w:val="000C5F4F"/>
    <w:rsid w:val="000D0FC4"/>
    <w:rsid w:val="000F0973"/>
    <w:rsid w:val="000F35DC"/>
    <w:rsid w:val="000F4875"/>
    <w:rsid w:val="001069C0"/>
    <w:rsid w:val="00141CA0"/>
    <w:rsid w:val="001427F4"/>
    <w:rsid w:val="00146E73"/>
    <w:rsid w:val="001805A0"/>
    <w:rsid w:val="00187548"/>
    <w:rsid w:val="00193127"/>
    <w:rsid w:val="00193175"/>
    <w:rsid w:val="00195C37"/>
    <w:rsid w:val="001967D8"/>
    <w:rsid w:val="00196F7C"/>
    <w:rsid w:val="001B699D"/>
    <w:rsid w:val="001D1875"/>
    <w:rsid w:val="001D751C"/>
    <w:rsid w:val="001E2CDD"/>
    <w:rsid w:val="001F29C6"/>
    <w:rsid w:val="00206EEF"/>
    <w:rsid w:val="002116B0"/>
    <w:rsid w:val="00215433"/>
    <w:rsid w:val="002431ED"/>
    <w:rsid w:val="00243F17"/>
    <w:rsid w:val="00247A15"/>
    <w:rsid w:val="002522EB"/>
    <w:rsid w:val="002B67B7"/>
    <w:rsid w:val="002B6D82"/>
    <w:rsid w:val="002C4AE0"/>
    <w:rsid w:val="002F127C"/>
    <w:rsid w:val="00301EF0"/>
    <w:rsid w:val="003126C9"/>
    <w:rsid w:val="00320255"/>
    <w:rsid w:val="003418D1"/>
    <w:rsid w:val="00342CF5"/>
    <w:rsid w:val="00344A2F"/>
    <w:rsid w:val="00363D93"/>
    <w:rsid w:val="003749E3"/>
    <w:rsid w:val="00377658"/>
    <w:rsid w:val="003A225A"/>
    <w:rsid w:val="003A5B51"/>
    <w:rsid w:val="003B10E6"/>
    <w:rsid w:val="003B5CEE"/>
    <w:rsid w:val="003C1B0D"/>
    <w:rsid w:val="003C42FC"/>
    <w:rsid w:val="003D04CF"/>
    <w:rsid w:val="00404BA6"/>
    <w:rsid w:val="004122D9"/>
    <w:rsid w:val="00416E55"/>
    <w:rsid w:val="0045280C"/>
    <w:rsid w:val="0045634B"/>
    <w:rsid w:val="00462575"/>
    <w:rsid w:val="004711C6"/>
    <w:rsid w:val="00497B4F"/>
    <w:rsid w:val="004B2E93"/>
    <w:rsid w:val="004B6026"/>
    <w:rsid w:val="004C12F6"/>
    <w:rsid w:val="004C2C94"/>
    <w:rsid w:val="004F70C1"/>
    <w:rsid w:val="00533206"/>
    <w:rsid w:val="005550D1"/>
    <w:rsid w:val="005A266D"/>
    <w:rsid w:val="005A51AE"/>
    <w:rsid w:val="005F26A3"/>
    <w:rsid w:val="005F2C3A"/>
    <w:rsid w:val="005F5C5B"/>
    <w:rsid w:val="00603B20"/>
    <w:rsid w:val="006040B9"/>
    <w:rsid w:val="00627C1E"/>
    <w:rsid w:val="00633468"/>
    <w:rsid w:val="00640CC6"/>
    <w:rsid w:val="00654DD0"/>
    <w:rsid w:val="00655F3A"/>
    <w:rsid w:val="00667AAA"/>
    <w:rsid w:val="0068015C"/>
    <w:rsid w:val="00690C27"/>
    <w:rsid w:val="00691D1B"/>
    <w:rsid w:val="006A13FE"/>
    <w:rsid w:val="006A3815"/>
    <w:rsid w:val="006B0E4D"/>
    <w:rsid w:val="006D2727"/>
    <w:rsid w:val="006F30CC"/>
    <w:rsid w:val="006F4920"/>
    <w:rsid w:val="00717311"/>
    <w:rsid w:val="007251A3"/>
    <w:rsid w:val="007252F5"/>
    <w:rsid w:val="00744741"/>
    <w:rsid w:val="00750544"/>
    <w:rsid w:val="00775B5D"/>
    <w:rsid w:val="007848CB"/>
    <w:rsid w:val="00795F50"/>
    <w:rsid w:val="00797191"/>
    <w:rsid w:val="007A2E60"/>
    <w:rsid w:val="007A5CAF"/>
    <w:rsid w:val="007A6D17"/>
    <w:rsid w:val="007C6839"/>
    <w:rsid w:val="007D0137"/>
    <w:rsid w:val="007D161A"/>
    <w:rsid w:val="007F6733"/>
    <w:rsid w:val="00800766"/>
    <w:rsid w:val="008052F5"/>
    <w:rsid w:val="008137BE"/>
    <w:rsid w:val="008170BC"/>
    <w:rsid w:val="00842122"/>
    <w:rsid w:val="0085677C"/>
    <w:rsid w:val="00862756"/>
    <w:rsid w:val="008646C6"/>
    <w:rsid w:val="0087499B"/>
    <w:rsid w:val="0087720F"/>
    <w:rsid w:val="00880540"/>
    <w:rsid w:val="008836D3"/>
    <w:rsid w:val="008A046A"/>
    <w:rsid w:val="008D36AA"/>
    <w:rsid w:val="008D6CDD"/>
    <w:rsid w:val="008E56AB"/>
    <w:rsid w:val="008F6848"/>
    <w:rsid w:val="00922C90"/>
    <w:rsid w:val="009230BE"/>
    <w:rsid w:val="009315D7"/>
    <w:rsid w:val="00933F16"/>
    <w:rsid w:val="00943F5B"/>
    <w:rsid w:val="00945BCB"/>
    <w:rsid w:val="00960354"/>
    <w:rsid w:val="0097224F"/>
    <w:rsid w:val="00992D9B"/>
    <w:rsid w:val="00993697"/>
    <w:rsid w:val="009A1CA7"/>
    <w:rsid w:val="009A3DC0"/>
    <w:rsid w:val="009C4844"/>
    <w:rsid w:val="009D00EA"/>
    <w:rsid w:val="009D3E62"/>
    <w:rsid w:val="009D4107"/>
    <w:rsid w:val="009E5290"/>
    <w:rsid w:val="00A009CC"/>
    <w:rsid w:val="00A05127"/>
    <w:rsid w:val="00A330B1"/>
    <w:rsid w:val="00A3358F"/>
    <w:rsid w:val="00A34989"/>
    <w:rsid w:val="00A40C0B"/>
    <w:rsid w:val="00A77E94"/>
    <w:rsid w:val="00A81162"/>
    <w:rsid w:val="00A84672"/>
    <w:rsid w:val="00A9272B"/>
    <w:rsid w:val="00A977D4"/>
    <w:rsid w:val="00A97C10"/>
    <w:rsid w:val="00AC0B44"/>
    <w:rsid w:val="00AD6E2D"/>
    <w:rsid w:val="00AE7552"/>
    <w:rsid w:val="00B217DF"/>
    <w:rsid w:val="00B22A32"/>
    <w:rsid w:val="00B44032"/>
    <w:rsid w:val="00B57C77"/>
    <w:rsid w:val="00B62AF7"/>
    <w:rsid w:val="00B669B8"/>
    <w:rsid w:val="00B76FB9"/>
    <w:rsid w:val="00B82DA4"/>
    <w:rsid w:val="00B87E30"/>
    <w:rsid w:val="00B93FC8"/>
    <w:rsid w:val="00B96029"/>
    <w:rsid w:val="00B961B4"/>
    <w:rsid w:val="00BA1FF0"/>
    <w:rsid w:val="00BA28FE"/>
    <w:rsid w:val="00BA3405"/>
    <w:rsid w:val="00BD0ADE"/>
    <w:rsid w:val="00BD52FD"/>
    <w:rsid w:val="00C004B2"/>
    <w:rsid w:val="00C00978"/>
    <w:rsid w:val="00C24A5C"/>
    <w:rsid w:val="00C31397"/>
    <w:rsid w:val="00C44E15"/>
    <w:rsid w:val="00CA0C16"/>
    <w:rsid w:val="00CA59E5"/>
    <w:rsid w:val="00CA7570"/>
    <w:rsid w:val="00CB0202"/>
    <w:rsid w:val="00CB24E7"/>
    <w:rsid w:val="00CB5644"/>
    <w:rsid w:val="00CE44D9"/>
    <w:rsid w:val="00D1225B"/>
    <w:rsid w:val="00D16777"/>
    <w:rsid w:val="00D24E3B"/>
    <w:rsid w:val="00D3126C"/>
    <w:rsid w:val="00D322AA"/>
    <w:rsid w:val="00D35344"/>
    <w:rsid w:val="00D432ED"/>
    <w:rsid w:val="00D452E1"/>
    <w:rsid w:val="00D54468"/>
    <w:rsid w:val="00D62ADE"/>
    <w:rsid w:val="00D62D97"/>
    <w:rsid w:val="00D63413"/>
    <w:rsid w:val="00D7068D"/>
    <w:rsid w:val="00D7122E"/>
    <w:rsid w:val="00D71F3B"/>
    <w:rsid w:val="00D74B2E"/>
    <w:rsid w:val="00D80CD3"/>
    <w:rsid w:val="00D84EE4"/>
    <w:rsid w:val="00DA0A32"/>
    <w:rsid w:val="00DB21BF"/>
    <w:rsid w:val="00DB4C11"/>
    <w:rsid w:val="00DC0D13"/>
    <w:rsid w:val="00DD3DB3"/>
    <w:rsid w:val="00DD669A"/>
    <w:rsid w:val="00DD6E2B"/>
    <w:rsid w:val="00DE3F3C"/>
    <w:rsid w:val="00DF0064"/>
    <w:rsid w:val="00DF0AF3"/>
    <w:rsid w:val="00DF186B"/>
    <w:rsid w:val="00E005E0"/>
    <w:rsid w:val="00E068B2"/>
    <w:rsid w:val="00E12600"/>
    <w:rsid w:val="00E20EE0"/>
    <w:rsid w:val="00E237C7"/>
    <w:rsid w:val="00E25578"/>
    <w:rsid w:val="00E34FAA"/>
    <w:rsid w:val="00E44FC7"/>
    <w:rsid w:val="00E4788D"/>
    <w:rsid w:val="00E57EB9"/>
    <w:rsid w:val="00E6751B"/>
    <w:rsid w:val="00E904E4"/>
    <w:rsid w:val="00E92341"/>
    <w:rsid w:val="00E97EDE"/>
    <w:rsid w:val="00EE5E6C"/>
    <w:rsid w:val="00EE7F36"/>
    <w:rsid w:val="00EF3065"/>
    <w:rsid w:val="00F051BE"/>
    <w:rsid w:val="00F11006"/>
    <w:rsid w:val="00F15F2E"/>
    <w:rsid w:val="00F350E3"/>
    <w:rsid w:val="00F46007"/>
    <w:rsid w:val="00F52F57"/>
    <w:rsid w:val="00F53D86"/>
    <w:rsid w:val="00F64670"/>
    <w:rsid w:val="00F7335C"/>
    <w:rsid w:val="00F73DA9"/>
    <w:rsid w:val="00F77F18"/>
    <w:rsid w:val="00F83330"/>
    <w:rsid w:val="00F909D9"/>
    <w:rsid w:val="00FA1D59"/>
    <w:rsid w:val="00FA36FD"/>
    <w:rsid w:val="00FA3D61"/>
    <w:rsid w:val="00FB3A9A"/>
    <w:rsid w:val="00FC78C4"/>
    <w:rsid w:val="00FD3173"/>
    <w:rsid w:val="00FD5DE5"/>
    <w:rsid w:val="00FF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CAB5"/>
  <w15:chartTrackingRefBased/>
  <w15:docId w15:val="{FAB93695-EE24-4707-AF13-AADCB8EB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37"/>
    <w:pPr>
      <w:spacing w:after="240" w:line="360" w:lineRule="auto"/>
    </w:pPr>
    <w:rPr>
      <w:rFonts w:ascii="Times New Roman" w:eastAsiaTheme="minorHAnsi" w:hAnsi="Times New Roman"/>
      <w:sz w:val="24"/>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table" w:styleId="TableGrid">
    <w:name w:val="Table Grid"/>
    <w:basedOn w:val="TableNormal"/>
    <w:uiPriority w:val="39"/>
    <w:rsid w:val="007D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40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0B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040B9"/>
    <w:rPr>
      <w:rFonts w:ascii="Segoe UI" w:hAnsi="Segoe UI" w:cs="Segoe UI"/>
      <w:sz w:val="18"/>
      <w:szCs w:val="18"/>
    </w:rPr>
  </w:style>
  <w:style w:type="character" w:styleId="CommentReference">
    <w:name w:val="annotation reference"/>
    <w:basedOn w:val="DefaultParagraphFont"/>
    <w:uiPriority w:val="99"/>
    <w:semiHidden/>
    <w:unhideWhenUsed/>
    <w:rsid w:val="006040B9"/>
    <w:rPr>
      <w:sz w:val="16"/>
      <w:szCs w:val="16"/>
    </w:rPr>
  </w:style>
  <w:style w:type="paragraph" w:styleId="CommentText">
    <w:name w:val="annotation text"/>
    <w:basedOn w:val="Normal"/>
    <w:link w:val="CommentTextChar"/>
    <w:uiPriority w:val="99"/>
    <w:semiHidden/>
    <w:unhideWhenUsed/>
    <w:rsid w:val="006040B9"/>
    <w:pPr>
      <w:spacing w:after="12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semiHidden/>
    <w:rsid w:val="006040B9"/>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040B9"/>
    <w:rPr>
      <w:b/>
      <w:bCs/>
    </w:rPr>
  </w:style>
  <w:style w:type="character" w:customStyle="1" w:styleId="CommentSubjectChar">
    <w:name w:val="Comment Subject Char"/>
    <w:basedOn w:val="CommentTextChar"/>
    <w:link w:val="CommentSubject"/>
    <w:uiPriority w:val="99"/>
    <w:semiHidden/>
    <w:rsid w:val="006040B9"/>
    <w:rPr>
      <w:rFonts w:ascii="Times" w:hAnsi="Times" w:cs="Times New Roman"/>
      <w:b/>
      <w:bCs/>
      <w:sz w:val="20"/>
      <w:szCs w:val="20"/>
    </w:rPr>
  </w:style>
  <w:style w:type="paragraph" w:customStyle="1" w:styleId="BMJHeading1">
    <w:name w:val="BMJ Heading 1"/>
    <w:basedOn w:val="Heading1"/>
    <w:qFormat/>
    <w:rsid w:val="00E25578"/>
    <w:pPr>
      <w:spacing w:before="120" w:after="120" w:line="276" w:lineRule="auto"/>
    </w:pPr>
    <w:rPr>
      <w:caps/>
    </w:rPr>
  </w:style>
  <w:style w:type="paragraph" w:customStyle="1" w:styleId="BMJHeading3">
    <w:name w:val="BMJ Heading 3"/>
    <w:basedOn w:val="Heading3"/>
    <w:qFormat/>
    <w:rsid w:val="00E25578"/>
    <w:pPr>
      <w:spacing w:before="80" w:after="80"/>
    </w:pPr>
    <w:rPr>
      <w:i w:val="0"/>
      <w:sz w:val="26"/>
    </w:rPr>
  </w:style>
  <w:style w:type="character" w:styleId="Hyperlink">
    <w:name w:val="Hyperlink"/>
    <w:uiPriority w:val="99"/>
    <w:rsid w:val="0087720F"/>
    <w:rPr>
      <w:color w:val="0000FF"/>
      <w:u w:val="single"/>
    </w:rPr>
  </w:style>
  <w:style w:type="paragraph" w:styleId="Footer">
    <w:name w:val="footer"/>
    <w:basedOn w:val="Normal"/>
    <w:link w:val="FooterChar"/>
    <w:uiPriority w:val="99"/>
    <w:unhideWhenUsed/>
    <w:rsid w:val="00DF186B"/>
    <w:pPr>
      <w:tabs>
        <w:tab w:val="center" w:pos="4513"/>
        <w:tab w:val="right" w:pos="9026"/>
      </w:tabs>
      <w:spacing w:after="0" w:line="240" w:lineRule="auto"/>
    </w:pPr>
    <w:rPr>
      <w:rFonts w:ascii="Times" w:eastAsia="Times New Roman" w:hAnsi="Times" w:cs="Times New Roman"/>
      <w:szCs w:val="20"/>
    </w:rPr>
  </w:style>
  <w:style w:type="character" w:customStyle="1" w:styleId="FooterChar">
    <w:name w:val="Footer Char"/>
    <w:basedOn w:val="DefaultParagraphFont"/>
    <w:link w:val="Footer"/>
    <w:uiPriority w:val="99"/>
    <w:rsid w:val="00DF186B"/>
    <w:rPr>
      <w:rFonts w:ascii="Times" w:hAnsi="Times" w:cs="Times New Roman"/>
      <w:sz w:val="24"/>
      <w:szCs w:val="20"/>
    </w:rPr>
  </w:style>
  <w:style w:type="paragraph" w:styleId="Header">
    <w:name w:val="header"/>
    <w:basedOn w:val="Normal"/>
    <w:link w:val="HeaderChar"/>
    <w:uiPriority w:val="99"/>
    <w:unhideWhenUsed/>
    <w:rsid w:val="00DF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6B"/>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amlot@ph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e.smith@k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bi.nlm.nih.gov/books/NBK2635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ideon.rubin@k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EDEBD-B004-470D-AD33-88746586A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6CDE3-BDC0-4447-882F-09DAA8EAD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6DC14D-06A7-4E3D-A35D-7B869260D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3</cp:revision>
  <dcterms:created xsi:type="dcterms:W3CDTF">2020-05-19T09:22:00Z</dcterms:created>
  <dcterms:modified xsi:type="dcterms:W3CDTF">2020-05-19T09:24:00Z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