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2C2A6B6" w14:textId="269C3441" w:rsidR="00993C1B" w:rsidRPr="00CC439A" w:rsidRDefault="005E3A8C" w:rsidP="00993C1B">
      <w:pPr>
        <w:pStyle w:val="BMJHeading3"/>
        <w:rPr>
          <w:b/>
          <w:caps/>
          <w:sz w:val="28"/>
          <w:szCs w:val="32"/>
          <w:u w:val="single"/>
        </w:rPr>
      </w:pPr>
      <w:r>
        <w:rPr>
          <w:b/>
          <w:bCs/>
          <w:caps/>
          <w:sz w:val="28"/>
          <w:szCs w:val="32"/>
          <w:u w:val="single"/>
        </w:rPr>
        <w:t>S</w:t>
      </w:r>
      <w:r w:rsidR="00993C1B" w:rsidRPr="00CC439A">
        <w:rPr>
          <w:b/>
          <w:bCs/>
          <w:caps/>
          <w:sz w:val="28"/>
          <w:szCs w:val="32"/>
          <w:u w:val="single"/>
        </w:rPr>
        <w:t>elf-</w:t>
      </w:r>
      <w:bookmarkStart w:id="0" w:name="_GoBack"/>
      <w:bookmarkEnd w:id="0"/>
      <w:r w:rsidR="00993C1B" w:rsidRPr="00CC439A">
        <w:rPr>
          <w:b/>
          <w:bCs/>
          <w:caps/>
          <w:sz w:val="28"/>
          <w:szCs w:val="32"/>
          <w:u w:val="single"/>
        </w:rPr>
        <w:t xml:space="preserve">reported adherence to </w:t>
      </w:r>
      <w:r>
        <w:rPr>
          <w:b/>
          <w:bCs/>
          <w:caps/>
          <w:sz w:val="28"/>
          <w:szCs w:val="32"/>
          <w:u w:val="single"/>
        </w:rPr>
        <w:t>s</w:t>
      </w:r>
      <w:r w:rsidR="00993C1B" w:rsidRPr="00CC439A">
        <w:rPr>
          <w:b/>
          <w:bCs/>
          <w:caps/>
          <w:sz w:val="28"/>
          <w:szCs w:val="32"/>
          <w:u w:val="single"/>
        </w:rPr>
        <w:t>ocial distancing</w:t>
      </w:r>
      <w:r w:rsidR="00993C1B" w:rsidRPr="00CC439A">
        <w:rPr>
          <w:b/>
          <w:caps/>
          <w:sz w:val="28"/>
          <w:szCs w:val="32"/>
          <w:u w:val="single"/>
        </w:rPr>
        <w:t xml:space="preserve"> measures</w:t>
      </w:r>
    </w:p>
    <w:p w14:paraId="34724EE4" w14:textId="77777777" w:rsidR="00153613" w:rsidRDefault="00153613" w:rsidP="00153613">
      <w:pPr>
        <w:pStyle w:val="BMJHeading3"/>
      </w:pPr>
      <w:r w:rsidRPr="00CC439A">
        <w:t>DHSC Tracker Surveys, Wave 10, 30 March – 1 April 2020 (n=2012)</w:t>
      </w:r>
    </w:p>
    <w:p w14:paraId="464F109E" w14:textId="34730A5A" w:rsidR="00680D50" w:rsidRDefault="006004C9" w:rsidP="00680D50">
      <w:pPr>
        <w:pStyle w:val="Heading3"/>
      </w:pPr>
      <w:r>
        <w:t>3</w:t>
      </w:r>
      <w:r w:rsidRPr="006004C9">
        <w:rPr>
          <w:vertAlign w:val="superscript"/>
        </w:rPr>
        <w:t>rd</w:t>
      </w:r>
      <w:r>
        <w:t xml:space="preserve"> </w:t>
      </w:r>
      <w:r w:rsidR="00680D50">
        <w:t>April 2020</w:t>
      </w:r>
    </w:p>
    <w:p w14:paraId="1DB53D91" w14:textId="24DA220C" w:rsidR="00680D50" w:rsidRDefault="00247B75" w:rsidP="00680D50">
      <w:r>
        <w:t>OFFICIAL SENSITIVE, not to be shared beyond SPI-B / SAGE</w:t>
      </w:r>
    </w:p>
    <w:p w14:paraId="5A7DBD75" w14:textId="77777777" w:rsidR="00247B75" w:rsidRPr="00680D50" w:rsidRDefault="00247B75" w:rsidP="00680D50"/>
    <w:p w14:paraId="66D54416" w14:textId="77777777" w:rsidR="00153613" w:rsidRDefault="00153613" w:rsidP="00153613">
      <w:pPr>
        <w:pStyle w:val="BMJHeading3"/>
      </w:pPr>
      <w:r w:rsidRPr="00CC439A">
        <w:t>Summary:</w:t>
      </w:r>
    </w:p>
    <w:p w14:paraId="56EA091B" w14:textId="77777777"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Self-reported adherence to measures ranged depending on the behaviour, with 99% adherence to exercise measures (once daily) and 58% adherence to going to the shops for groceries/pharmacy (once weekly).</w:t>
      </w:r>
    </w:p>
    <w:p w14:paraId="6B6C37DF" w14:textId="77777777"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The vast majority of participants reported having seen advice about how to protect yourself and others (96%), and the “stay at home, save lives” campaigns (97%). Consequently, we cannot draw any meaningful associations from these analyses.</w:t>
      </w:r>
    </w:p>
    <w:p w14:paraId="31A84D1D" w14:textId="77777777"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Being male, aged 16-24 years and living in a more deprived area were associated with non-adherence to multiple social distancing measures.</w:t>
      </w:r>
    </w:p>
    <w:p w14:paraId="20A328FB" w14:textId="75657AC4"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 xml:space="preserve">Currently working (working full-time, part-time or being self-employed vs not working) was associated with non-adherence to going to the shops for groceries/pharmacy and going out to work. </w:t>
      </w:r>
      <w:r w:rsidR="003B57CB">
        <w:rPr>
          <w:rFonts w:ascii="Times New Roman" w:eastAsiaTheme="minorHAnsi" w:hAnsi="Times New Roman" w:cstheme="minorBidi"/>
          <w:szCs w:val="22"/>
        </w:rPr>
        <w:t>H</w:t>
      </w:r>
      <w:r w:rsidRPr="00BE5A44">
        <w:rPr>
          <w:rFonts w:ascii="Times New Roman" w:eastAsiaTheme="minorHAnsi" w:hAnsi="Times New Roman" w:cstheme="minorBidi"/>
          <w:szCs w:val="22"/>
        </w:rPr>
        <w:t>aving a family member working for the NHS was associated with non-adherence to going to the shops for things other than groceries/pharmacy and going out to meet with friends or family.</w:t>
      </w:r>
    </w:p>
    <w:p w14:paraId="2E67D7B0" w14:textId="77777777" w:rsidR="00BE5A44" w:rsidRPr="00BE5A44" w:rsidRDefault="00BE5A44" w:rsidP="00BE5A44">
      <w:pPr>
        <w:numPr>
          <w:ilvl w:val="1"/>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Of those who were employed (defined as working full-time, part-time or being self-employed): not having a permanent job was associated with non-adherence to going to the shops for things other than groceries/pharmacy and going out to meet with friends or family. Self-employment was not associated with non-adherence to any measure</w:t>
      </w:r>
    </w:p>
    <w:p w14:paraId="60CA3EBF" w14:textId="77777777" w:rsidR="00BE5A44" w:rsidRPr="00BE5A44" w:rsidRDefault="00BE5A44" w:rsidP="00BE5A44">
      <w:pPr>
        <w:numPr>
          <w:ilvl w:val="1"/>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Socio-economic group (highest earner in household being a manual worker) was associated with non-adherence to going shopping for things other than groceries/pharmacy; no association with non-adherence to other measures</w:t>
      </w:r>
    </w:p>
    <w:p w14:paraId="49D60DFD" w14:textId="77777777"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lastRenderedPageBreak/>
        <w:t>Thinking you have had coronavirus, or having had it confirmed by a test, was associated with non-adherence to social distancing measures.</w:t>
      </w:r>
    </w:p>
    <w:p w14:paraId="33E36C44" w14:textId="77777777"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Those who were more worried about the impact coronavirus would have on their mental health were also less likely to adhere to measures.</w:t>
      </w:r>
    </w:p>
    <w:p w14:paraId="36BD3FE0" w14:textId="77777777"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Worry about coronavirus and perceived risk of coronavirus were strongly associated with adherence to going to the shops for groceries/pharmacy, but evidence was mixed for associations with adherence to going to the shops for things other than groceries/pharmacy and meeting up with friends (however results for non-adherence to the latter two measures should be taken with caution due to the small proportion of people not adhering to guidelines).</w:t>
      </w:r>
    </w:p>
    <w:p w14:paraId="15483FAE" w14:textId="77777777" w:rsidR="00BE5A44" w:rsidRPr="00BE5A44" w:rsidRDefault="00BE5A44" w:rsidP="00BE5A44">
      <w:pPr>
        <w:numPr>
          <w:ilvl w:val="0"/>
          <w:numId w:val="8"/>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Few factors were associated with going out to work, in a sample defined as non-key workers. While results should be taken with caution due to the smaller sample size, this might suggest that organisational level changes, rather than individual factors, play a larger role in going out to work if not necessary.</w:t>
      </w:r>
    </w:p>
    <w:p w14:paraId="0FBFBEBF" w14:textId="77777777" w:rsidR="00BE5A44" w:rsidRPr="00BE5A44" w:rsidRDefault="00BE5A44" w:rsidP="00BE5A44">
      <w:pPr>
        <w:keepNext/>
        <w:keepLines/>
        <w:spacing w:before="80" w:after="80"/>
        <w:outlineLvl w:val="2"/>
        <w:rPr>
          <w:rFonts w:ascii="Times New Roman" w:eastAsiaTheme="majorEastAsia" w:hAnsi="Times New Roman" w:cstheme="majorBidi"/>
          <w:sz w:val="26"/>
          <w:szCs w:val="24"/>
        </w:rPr>
      </w:pPr>
      <w:r w:rsidRPr="00BE5A44">
        <w:rPr>
          <w:rFonts w:ascii="Times New Roman" w:eastAsiaTheme="majorEastAsia" w:hAnsi="Times New Roman" w:cstheme="majorBidi"/>
          <w:sz w:val="26"/>
          <w:szCs w:val="24"/>
        </w:rPr>
        <w:t>Recommendations</w:t>
      </w:r>
    </w:p>
    <w:p w14:paraId="4A055245" w14:textId="77777777" w:rsidR="00BE5A44" w:rsidRPr="00BE5A44" w:rsidRDefault="00BE5A44" w:rsidP="00BE5A44">
      <w:pPr>
        <w:numPr>
          <w:ilvl w:val="0"/>
          <w:numId w:val="9"/>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Targeted messaging for groups who are not adhering to social distancing measures, in particular males, those aged 16-24 years, and those living in more deprived areas, may help with compliance with social distancing measures, in particular for behaviours which are not currently allowed in accordance with Government guidelines (e.g. going to the shops for items other than groceries/pharmacy, and meeting friends or family).</w:t>
      </w:r>
    </w:p>
    <w:p w14:paraId="4931F356" w14:textId="77777777" w:rsidR="00BE5A44" w:rsidRPr="00BE5A44" w:rsidRDefault="00BE5A44" w:rsidP="00BE5A44">
      <w:pPr>
        <w:numPr>
          <w:ilvl w:val="0"/>
          <w:numId w:val="9"/>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Further support from organisations and employers, rather than addressing individual-level factors, may encourage people to stop going to work if not necessary.</w:t>
      </w:r>
    </w:p>
    <w:p w14:paraId="1C511504" w14:textId="77777777" w:rsidR="00BE5A44" w:rsidRPr="00BE5A44" w:rsidRDefault="00BE5A44" w:rsidP="00BE5A44">
      <w:pPr>
        <w:numPr>
          <w:ilvl w:val="0"/>
          <w:numId w:val="9"/>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Messaging should not focus on worry and perceived risk/severity of the coronavirus as evidence for associations with adherence to different social distancing measures was mixed.</w:t>
      </w:r>
    </w:p>
    <w:p w14:paraId="595C7B16" w14:textId="4766AC93" w:rsidR="00811F53" w:rsidRDefault="00BE5A44" w:rsidP="00811F53">
      <w:pPr>
        <w:numPr>
          <w:ilvl w:val="0"/>
          <w:numId w:val="9"/>
        </w:numPr>
        <w:spacing w:after="240"/>
        <w:contextualSpacing/>
        <w:rPr>
          <w:rFonts w:ascii="Times New Roman" w:eastAsiaTheme="minorHAnsi" w:hAnsi="Times New Roman" w:cstheme="minorBidi"/>
          <w:szCs w:val="22"/>
        </w:rPr>
      </w:pPr>
      <w:r w:rsidRPr="00BE5A44">
        <w:rPr>
          <w:rFonts w:ascii="Times New Roman" w:eastAsiaTheme="minorHAnsi" w:hAnsi="Times New Roman" w:cstheme="minorBidi"/>
          <w:szCs w:val="22"/>
        </w:rPr>
        <w:t>People who are more worried about the coronavirus impacting their mental health are less likely to adhere to social distancing measures. Messages promoting wellbeing during the outbreak should be considered. Further work is needed to understand this relationship.</w:t>
      </w:r>
    </w:p>
    <w:p w14:paraId="497D9DC1" w14:textId="77777777" w:rsidR="00BE5A44" w:rsidRPr="00CC439A" w:rsidRDefault="00BE5A44" w:rsidP="00BE5A44">
      <w:pPr>
        <w:pStyle w:val="BMJHeading3"/>
      </w:pPr>
      <w:r w:rsidRPr="00CC439A">
        <w:lastRenderedPageBreak/>
        <w:t>Going to the shops, for groceries/pharmacy</w:t>
      </w:r>
    </w:p>
    <w:p w14:paraId="7319BF4A" w14:textId="77777777" w:rsidR="00BE5A44" w:rsidRPr="00CC439A" w:rsidRDefault="00BE5A44" w:rsidP="00BE5A44">
      <w:pPr>
        <w:pStyle w:val="ListParagraph"/>
        <w:numPr>
          <w:ilvl w:val="0"/>
          <w:numId w:val="2"/>
        </w:numPr>
        <w:spacing w:after="240" w:line="360" w:lineRule="auto"/>
      </w:pPr>
      <w:r w:rsidRPr="00CC439A">
        <w:t>The proportion of people reporting going to the shops for groceries/pharmacy once or less in the past seven days was 58% (n=1166); 42% (n=846) had gone twice or more in the past seven days.</w:t>
      </w:r>
    </w:p>
    <w:p w14:paraId="3DCC7358" w14:textId="77777777" w:rsidR="00BE5A44" w:rsidRPr="00CC439A" w:rsidRDefault="00BE5A44" w:rsidP="00BE5A44">
      <w:pPr>
        <w:pStyle w:val="ListParagraph"/>
        <w:numPr>
          <w:ilvl w:val="1"/>
          <w:numId w:val="2"/>
        </w:numPr>
        <w:spacing w:after="240" w:line="360" w:lineRule="auto"/>
      </w:pPr>
      <w:r w:rsidRPr="00CC439A">
        <w:t>Of those who had gone out to the shops for groceries/pharmacy, 40% had been in close contact with someone while doing this</w:t>
      </w:r>
    </w:p>
    <w:p w14:paraId="6771BB60" w14:textId="77777777" w:rsidR="00BE5A44" w:rsidRPr="00CC439A" w:rsidRDefault="00BE5A44" w:rsidP="00BE5A44">
      <w:pPr>
        <w:pStyle w:val="ListParagraph"/>
        <w:numPr>
          <w:ilvl w:val="0"/>
          <w:numId w:val="2"/>
        </w:numPr>
        <w:spacing w:after="240" w:line="360" w:lineRule="auto"/>
      </w:pPr>
      <w:r w:rsidRPr="00CC439A">
        <w:t>Being in an “at risk” group (70 years or older, or having a coronavirus-relevant chronic illness) was associated with adhering to these measures and going shopping for groceries/pharmacy once or less in the last seven days.</w:t>
      </w:r>
    </w:p>
    <w:p w14:paraId="112E4BDD" w14:textId="77777777" w:rsidR="00BE5A44" w:rsidRPr="00CC439A" w:rsidRDefault="00BE5A44" w:rsidP="00BE5A44">
      <w:pPr>
        <w:pStyle w:val="ListParagraph"/>
        <w:numPr>
          <w:ilvl w:val="0"/>
          <w:numId w:val="2"/>
        </w:numPr>
        <w:spacing w:after="240" w:line="360" w:lineRule="auto"/>
      </w:pPr>
      <w:r w:rsidRPr="00CC439A">
        <w:t>Being male, working (in full-time work, part-time work, or self-employed vs not working), and living in the most deprived quartile (compared to least deprived quartile) were associated with going shopping for groceries/pharmacy twice or more in the last seven days.</w:t>
      </w:r>
    </w:p>
    <w:p w14:paraId="382105AC" w14:textId="77777777" w:rsidR="00BE5A44" w:rsidRPr="00CC439A" w:rsidRDefault="00BE5A44" w:rsidP="00BE5A44">
      <w:pPr>
        <w:pStyle w:val="ListParagraph"/>
        <w:numPr>
          <w:ilvl w:val="0"/>
          <w:numId w:val="2"/>
        </w:numPr>
        <w:spacing w:after="240" w:line="360" w:lineRule="auto"/>
      </w:pPr>
      <w:r w:rsidRPr="00CC439A">
        <w:t>There were no associations with other employment characteristics including having a permanent job, being self-employed, being a key worker, or the highest earner in the household being a manual worker. Nor were there further age effects.</w:t>
      </w:r>
    </w:p>
    <w:p w14:paraId="65E36DA6" w14:textId="77777777" w:rsidR="00BE5A44" w:rsidRPr="00CC439A" w:rsidRDefault="00BE5A44" w:rsidP="00BE5A44">
      <w:pPr>
        <w:pStyle w:val="ListParagraph"/>
        <w:numPr>
          <w:ilvl w:val="0"/>
          <w:numId w:val="2"/>
        </w:numPr>
        <w:spacing w:after="240" w:line="360" w:lineRule="auto"/>
      </w:pPr>
      <w:r w:rsidRPr="00CC439A">
        <w:t>Decreased worry about coronavirus, lower perceived risk of coronavirus (to self and people in UK), decreased perceived severity of coronavirus to oneself, decreased perceived likelihood of catching coronavirus, and being less worried about the impact of coronavirus on “your health” were associated with not adhering to this measure, as was decreased credibility of the Government.</w:t>
      </w:r>
    </w:p>
    <w:p w14:paraId="60F27529" w14:textId="77777777" w:rsidR="00BE5A44" w:rsidRPr="00CC439A" w:rsidRDefault="00BE5A44" w:rsidP="00BE5A44">
      <w:pPr>
        <w:pStyle w:val="ListParagraph"/>
        <w:numPr>
          <w:ilvl w:val="0"/>
          <w:numId w:val="2"/>
        </w:numPr>
        <w:spacing w:after="240" w:line="360" w:lineRule="auto"/>
      </w:pPr>
      <w:r w:rsidRPr="00CC439A">
        <w:t xml:space="preserve">There were no associations between adhering to these measures and: satisfaction with Government, agreeing that someone can spread coronavirus even if they do not show symptoms, agreeing that you are concerned about spreading coronavirus to someone who is at risk, or worry about the impact of coronavirus on “your mental health”. </w:t>
      </w:r>
    </w:p>
    <w:p w14:paraId="50858966" w14:textId="77777777" w:rsidR="00BE5A44" w:rsidRPr="00CC439A" w:rsidRDefault="00BE5A44" w:rsidP="00BE5A44"/>
    <w:p w14:paraId="2DF4F049" w14:textId="77777777" w:rsidR="00BE5A44" w:rsidRPr="00CC439A" w:rsidRDefault="00BE5A44" w:rsidP="00BE5A44">
      <w:pPr>
        <w:pStyle w:val="BMJHeading3"/>
      </w:pPr>
      <w:r w:rsidRPr="00CC439A">
        <w:t>Going for a walk or some other exercise:</w:t>
      </w:r>
    </w:p>
    <w:p w14:paraId="28B2FF61" w14:textId="77777777" w:rsidR="00BE5A44" w:rsidRPr="00CC439A" w:rsidRDefault="00BE5A44" w:rsidP="00BE5A44">
      <w:pPr>
        <w:pStyle w:val="ListParagraph"/>
        <w:numPr>
          <w:ilvl w:val="0"/>
          <w:numId w:val="2"/>
        </w:numPr>
        <w:spacing w:after="240" w:line="360" w:lineRule="auto"/>
      </w:pPr>
      <w:r w:rsidRPr="00CC439A">
        <w:t>The proportion of people who reported having left the house to go for a walk or some other form of exercise 7 or fewer times in past seven days was 99% (n=1991); only 1% (n=21) reported going 8+ times in past seven days.</w:t>
      </w:r>
    </w:p>
    <w:p w14:paraId="75FC046D" w14:textId="77777777" w:rsidR="00BE5A44" w:rsidRPr="00CC439A" w:rsidRDefault="00BE5A44" w:rsidP="00BE5A44">
      <w:pPr>
        <w:pStyle w:val="ListParagraph"/>
        <w:numPr>
          <w:ilvl w:val="1"/>
          <w:numId w:val="2"/>
        </w:numPr>
        <w:spacing w:after="240" w:line="360" w:lineRule="auto"/>
      </w:pPr>
      <w:r w:rsidRPr="00CC439A">
        <w:lastRenderedPageBreak/>
        <w:t xml:space="preserve">Of those who had gone out for a walk or some other exercise, 18% had been in close contact with someone while doing this. </w:t>
      </w:r>
    </w:p>
    <w:p w14:paraId="6042C1C8" w14:textId="77777777" w:rsidR="00BE5A44" w:rsidRPr="00CC439A" w:rsidRDefault="00BE5A44" w:rsidP="00BE5A44">
      <w:pPr>
        <w:pStyle w:val="ListParagraph"/>
        <w:numPr>
          <w:ilvl w:val="0"/>
          <w:numId w:val="2"/>
        </w:numPr>
        <w:spacing w:after="240" w:line="360" w:lineRule="auto"/>
      </w:pPr>
      <w:r w:rsidRPr="00CC439A">
        <w:t>Due to small numbers of people who have not adhered to the guidelines for this behaviour, we were unable to run any analyses investigating factors associated with not adhering to this measure.</w:t>
      </w:r>
    </w:p>
    <w:p w14:paraId="7C10FCFB" w14:textId="77777777" w:rsidR="00BE5A44" w:rsidRPr="00CC439A" w:rsidRDefault="00BE5A44" w:rsidP="00BE5A44"/>
    <w:p w14:paraId="32C61588" w14:textId="77777777" w:rsidR="00BE5A44" w:rsidRPr="00CC439A" w:rsidRDefault="00BE5A44" w:rsidP="00BE5A44">
      <w:pPr>
        <w:pStyle w:val="BMJHeading3"/>
      </w:pPr>
      <w:r w:rsidRPr="00CC439A">
        <w:t xml:space="preserve">Going out to work: </w:t>
      </w:r>
    </w:p>
    <w:p w14:paraId="7434CF0E" w14:textId="77777777" w:rsidR="00BE5A44" w:rsidRPr="00CC439A" w:rsidRDefault="00BE5A44" w:rsidP="00BE5A44">
      <w:pPr>
        <w:pStyle w:val="ListParagraph"/>
        <w:numPr>
          <w:ilvl w:val="0"/>
          <w:numId w:val="2"/>
        </w:numPr>
        <w:spacing w:after="240" w:line="360" w:lineRule="auto"/>
      </w:pPr>
      <w:r w:rsidRPr="00CC439A">
        <w:t xml:space="preserve">In the whole sample, 83% report not having gone to work at all in the past seven days (n=1666); 17% had gone out to work at least once in the last week (n=346). </w:t>
      </w:r>
    </w:p>
    <w:p w14:paraId="28F84552" w14:textId="77777777" w:rsidR="00BE5A44" w:rsidRPr="00CC439A" w:rsidRDefault="00BE5A44" w:rsidP="00BE5A44">
      <w:pPr>
        <w:pStyle w:val="ListParagraph"/>
        <w:numPr>
          <w:ilvl w:val="1"/>
          <w:numId w:val="2"/>
        </w:numPr>
        <w:spacing w:after="240" w:line="360" w:lineRule="auto"/>
      </w:pPr>
      <w:r w:rsidRPr="00CC439A">
        <w:t xml:space="preserve">Of those who had gone out to work, 54% (n=181/334 asked question) had been in close contact with someone while doing this. </w:t>
      </w:r>
    </w:p>
    <w:p w14:paraId="578830BB" w14:textId="77777777" w:rsidR="00BE5A44" w:rsidRPr="00CC439A" w:rsidRDefault="00BE5A44" w:rsidP="00BE5A44">
      <w:pPr>
        <w:pStyle w:val="ListParagraph"/>
        <w:numPr>
          <w:ilvl w:val="1"/>
          <w:numId w:val="2"/>
        </w:numPr>
        <w:spacing w:after="240" w:line="360" w:lineRule="auto"/>
      </w:pPr>
      <w:r w:rsidRPr="00CC439A">
        <w:t>Of those who had gone out to work, 56% (n=192) identified themselves as a key worker.</w:t>
      </w:r>
    </w:p>
    <w:p w14:paraId="1EC25CE3" w14:textId="77777777" w:rsidR="00BE5A44" w:rsidRPr="00CC439A" w:rsidRDefault="00BE5A44" w:rsidP="00BE5A44">
      <w:pPr>
        <w:pStyle w:val="ListParagraph"/>
        <w:numPr>
          <w:ilvl w:val="0"/>
          <w:numId w:val="2"/>
        </w:numPr>
        <w:spacing w:after="240" w:line="360" w:lineRule="auto"/>
      </w:pPr>
      <w:r w:rsidRPr="00CC439A">
        <w:t>We restricted the sample to only those who were not key workers as defined by criteria in demographic questions. This left 540 participants (27% total sample). We ran analyses of adherence to this measure on participants who were not defined as key/essential workers.</w:t>
      </w:r>
    </w:p>
    <w:p w14:paraId="217239F9" w14:textId="77777777" w:rsidR="00BE5A44" w:rsidRPr="00CC439A" w:rsidRDefault="00BE5A44" w:rsidP="00BE5A44">
      <w:pPr>
        <w:pStyle w:val="ListParagraph"/>
        <w:numPr>
          <w:ilvl w:val="1"/>
          <w:numId w:val="2"/>
        </w:numPr>
        <w:spacing w:after="240" w:line="360" w:lineRule="auto"/>
      </w:pPr>
      <w:r w:rsidRPr="00CC439A">
        <w:t>Of this group, 13% (n=72) reported going to work. The most common self-reported reasons for going to work were: not being able to do one’s job from home (57%); not being able to afford to stop working (29%); and having been asked by one’s boss to go in to work (29%, NB question allowed multiple answers to be selected). 11% identified themselves as key or critical workers.</w:t>
      </w:r>
    </w:p>
    <w:p w14:paraId="3626C034" w14:textId="77777777" w:rsidR="00BE5A44" w:rsidRPr="00CC439A" w:rsidRDefault="00BE5A44" w:rsidP="00BE5A44">
      <w:pPr>
        <w:pStyle w:val="ListParagraph"/>
        <w:numPr>
          <w:ilvl w:val="0"/>
          <w:numId w:val="2"/>
        </w:numPr>
        <w:spacing w:after="240" w:line="360" w:lineRule="auto"/>
      </w:pPr>
      <w:r w:rsidRPr="00CC439A">
        <w:t>As analyses were based on a small sample, we cannot say for certain how strongly factors were associated with not going to work. Only being of Black or minority ethnicity, having a job, and living in a more deprived quartile (2</w:t>
      </w:r>
      <w:r w:rsidRPr="00CC439A">
        <w:rPr>
          <w:vertAlign w:val="superscript"/>
        </w:rPr>
        <w:t>nd</w:t>
      </w:r>
      <w:r w:rsidRPr="00CC439A">
        <w:t xml:space="preserve"> quartile compared to 1</w:t>
      </w:r>
      <w:r w:rsidRPr="00CC439A">
        <w:rPr>
          <w:vertAlign w:val="superscript"/>
        </w:rPr>
        <w:t>st</w:t>
      </w:r>
      <w:r w:rsidRPr="00CC439A">
        <w:t xml:space="preserve">) were associated with not adhering to this measure. There were no age effects. </w:t>
      </w:r>
    </w:p>
    <w:p w14:paraId="07A84DF5" w14:textId="77777777" w:rsidR="00BE5A44" w:rsidRPr="00CC439A" w:rsidRDefault="00BE5A44" w:rsidP="00BE5A44">
      <w:pPr>
        <w:pStyle w:val="ListParagraph"/>
        <w:numPr>
          <w:ilvl w:val="0"/>
          <w:numId w:val="2"/>
        </w:numPr>
        <w:spacing w:after="240" w:line="360" w:lineRule="auto"/>
      </w:pPr>
      <w:r w:rsidRPr="00CC439A">
        <w:t>No other factors were associated with non-adherence to this measure. While sample sizes were small and therefore we cannot be confident that analyses were not powered to capture small effects, this might suggest that systemic factors, rather than peoples’ perceptions, play a greater role in going out to work if not completely necessary.</w:t>
      </w:r>
    </w:p>
    <w:p w14:paraId="5EC352EB" w14:textId="77777777" w:rsidR="00BE5A44" w:rsidRPr="00CC439A" w:rsidRDefault="00BE5A44" w:rsidP="00BE5A44"/>
    <w:p w14:paraId="0650F3F1" w14:textId="77777777" w:rsidR="00BE5A44" w:rsidRPr="00CC439A" w:rsidRDefault="00BE5A44" w:rsidP="00BE5A44">
      <w:pPr>
        <w:pStyle w:val="BMJHeading3"/>
      </w:pPr>
      <w:r w:rsidRPr="00CC439A">
        <w:t>Going to the shops, for things other than groceries/pharmacy</w:t>
      </w:r>
    </w:p>
    <w:p w14:paraId="6AAB0D9C" w14:textId="77777777" w:rsidR="00BE5A44" w:rsidRPr="00CC439A" w:rsidRDefault="00BE5A44" w:rsidP="00BE5A44">
      <w:pPr>
        <w:pStyle w:val="ListParagraph"/>
        <w:numPr>
          <w:ilvl w:val="0"/>
          <w:numId w:val="2"/>
        </w:numPr>
        <w:spacing w:after="240" w:line="360" w:lineRule="auto"/>
      </w:pPr>
      <w:r w:rsidRPr="00CC439A">
        <w:t>The proportion of people who reported not going to the shops for things other than groceries/pharmacy was 83% (n=1673); 17% (n=339) reported going once or more in the past seven days</w:t>
      </w:r>
    </w:p>
    <w:p w14:paraId="3F360831" w14:textId="5123AE68" w:rsidR="00BE5A44" w:rsidRPr="00CC439A" w:rsidRDefault="00BE5A44" w:rsidP="00BE5A44">
      <w:pPr>
        <w:pStyle w:val="ListParagraph"/>
        <w:numPr>
          <w:ilvl w:val="0"/>
          <w:numId w:val="2"/>
        </w:numPr>
        <w:spacing w:after="240" w:line="360" w:lineRule="auto"/>
      </w:pPr>
      <w:r w:rsidRPr="00CC439A">
        <w:t>Non-adherence was associated with male gender, being 16-24 years old (no difference with 25-34 year olds, less likely to adhere to guidelines than those aged 35+) having a dependent child, having a family member working for the NHS, and living in the most deprived quartile (compared to least deprived quartile).</w:t>
      </w:r>
    </w:p>
    <w:p w14:paraId="16E51692" w14:textId="77777777" w:rsidR="00BE5A44" w:rsidRPr="00CC439A" w:rsidRDefault="00BE5A44" w:rsidP="00BE5A44">
      <w:pPr>
        <w:pStyle w:val="ListParagraph"/>
        <w:numPr>
          <w:ilvl w:val="0"/>
          <w:numId w:val="2"/>
        </w:numPr>
        <w:spacing w:after="240" w:line="360" w:lineRule="auto"/>
      </w:pPr>
      <w:r w:rsidRPr="00CC439A">
        <w:t>Not being in permanent employment and the highest earner in the household being a manual worker were also associated with going to the shops for things other than groceries/pharmacy.</w:t>
      </w:r>
    </w:p>
    <w:p w14:paraId="6D9F9F8D" w14:textId="77777777" w:rsidR="00BE5A44" w:rsidRPr="00CC439A" w:rsidRDefault="00BE5A44" w:rsidP="00BE5A44">
      <w:pPr>
        <w:pStyle w:val="ListParagraph"/>
        <w:numPr>
          <w:ilvl w:val="0"/>
          <w:numId w:val="2"/>
        </w:numPr>
        <w:spacing w:after="240" w:line="360" w:lineRule="auto"/>
      </w:pPr>
      <w:r w:rsidRPr="00CC439A">
        <w:t>Thinking that you’ve had coronavirus or having it confirmed by a test, lower perceived risk of coronavirus to oneself, and not agreeing that someone can spread coronavirus even if they do not show symptoms yet were associated with non-adherence to this measure. Increased worry about the impact of coronavirus on “your mental health” was also associated with non-adherence.</w:t>
      </w:r>
    </w:p>
    <w:p w14:paraId="1FB8CD20" w14:textId="77777777" w:rsidR="00BE5A44" w:rsidRPr="00CC439A" w:rsidRDefault="00BE5A44" w:rsidP="00BE5A44">
      <w:pPr>
        <w:pStyle w:val="ListParagraph"/>
        <w:numPr>
          <w:ilvl w:val="1"/>
          <w:numId w:val="2"/>
        </w:numPr>
        <w:spacing w:after="240" w:line="360" w:lineRule="auto"/>
      </w:pPr>
      <w:r w:rsidRPr="00CC439A">
        <w:t>There was no association with worry about coronavirus, perceived risk of coronavirus to people in the UK, perceived severity of coronavirus to oneself, perceived likelihood of catching coronavirus, worry about the impact of coronavirus on “your health”, or concern about spreading coronavirus to someone who is at risk.</w:t>
      </w:r>
    </w:p>
    <w:p w14:paraId="0FA2037E" w14:textId="77777777" w:rsidR="00BE5A44" w:rsidRPr="00CC439A" w:rsidRDefault="00BE5A44" w:rsidP="00BE5A44">
      <w:pPr>
        <w:pStyle w:val="ListParagraph"/>
        <w:numPr>
          <w:ilvl w:val="0"/>
          <w:numId w:val="2"/>
        </w:numPr>
        <w:spacing w:after="240" w:line="360" w:lineRule="auto"/>
      </w:pPr>
      <w:r w:rsidRPr="00CC439A">
        <w:t>There was no association with satisfaction with Government or perceived credibility of the Government.</w:t>
      </w:r>
    </w:p>
    <w:p w14:paraId="556CBB75" w14:textId="77777777" w:rsidR="00BE5A44" w:rsidRPr="00CC439A" w:rsidRDefault="00BE5A44" w:rsidP="00BE5A44"/>
    <w:p w14:paraId="47606AAB" w14:textId="77777777" w:rsidR="00BE5A44" w:rsidRPr="00CC439A" w:rsidRDefault="00BE5A44" w:rsidP="00BE5A44">
      <w:pPr>
        <w:pStyle w:val="BMJHeading3"/>
      </w:pPr>
      <w:r w:rsidRPr="00CC439A">
        <w:t xml:space="preserve">Meeting up with friends and/or family that you don’t live with: </w:t>
      </w:r>
    </w:p>
    <w:p w14:paraId="58E902ED" w14:textId="77777777" w:rsidR="00BE5A44" w:rsidRPr="00CC439A" w:rsidRDefault="00BE5A44" w:rsidP="00BE5A44">
      <w:pPr>
        <w:pStyle w:val="ListParagraph"/>
        <w:numPr>
          <w:ilvl w:val="0"/>
          <w:numId w:val="2"/>
        </w:numPr>
        <w:spacing w:after="240" w:line="360" w:lineRule="auto"/>
      </w:pPr>
      <w:r w:rsidRPr="00CC439A">
        <w:t>The proportion of people who reported not going out to meet friends or family in the past seven days was 96% (n=1928); 4% (n=346) reported meeting friends or family that they don’t live with once or more.</w:t>
      </w:r>
    </w:p>
    <w:p w14:paraId="7E223202" w14:textId="77777777" w:rsidR="00BE5A44" w:rsidRPr="00CC439A" w:rsidRDefault="00BE5A44" w:rsidP="00BE5A44">
      <w:pPr>
        <w:pStyle w:val="ListParagraph"/>
        <w:numPr>
          <w:ilvl w:val="0"/>
          <w:numId w:val="2"/>
        </w:numPr>
        <w:spacing w:after="240" w:line="360" w:lineRule="auto"/>
      </w:pPr>
      <w:r w:rsidRPr="00CC439A">
        <w:lastRenderedPageBreak/>
        <w:t xml:space="preserve">Due to the small number of people who reported meeting up with friends and/or family in the past seven days, we cannot say for certain how strongly factors were associated with non-adherence to this measure. </w:t>
      </w:r>
    </w:p>
    <w:p w14:paraId="00E576DC" w14:textId="60E6B9B3" w:rsidR="00BE5A44" w:rsidRPr="00CC439A" w:rsidRDefault="00BE5A44" w:rsidP="00BE5A44">
      <w:pPr>
        <w:pStyle w:val="ListParagraph"/>
        <w:numPr>
          <w:ilvl w:val="0"/>
          <w:numId w:val="2"/>
        </w:numPr>
        <w:spacing w:after="240" w:line="360" w:lineRule="auto"/>
      </w:pPr>
      <w:r w:rsidRPr="00CC439A">
        <w:t>Being male, being 16-24 years old (no difference with 25-34 year olds, less likely to adhere to guidelines than those aged 35+, except no difference with 65-74 year olds), having a dependent child, not being in permanent employment, as well as having a family member working for the NHS were associated with non-adherence to this measure.</w:t>
      </w:r>
    </w:p>
    <w:p w14:paraId="7E0D7A69" w14:textId="77777777" w:rsidR="00BE5A44" w:rsidRPr="00CC439A" w:rsidRDefault="00BE5A44" w:rsidP="00BE5A44">
      <w:pPr>
        <w:pStyle w:val="ListParagraph"/>
        <w:numPr>
          <w:ilvl w:val="0"/>
          <w:numId w:val="2"/>
        </w:numPr>
        <w:spacing w:after="240" w:line="360" w:lineRule="auto"/>
      </w:pPr>
      <w:r w:rsidRPr="00CC439A">
        <w:t>Thinking you have ever had coronavirus or having it confirmed by a test, decreased perceived risk to self, not agreeing that someone can spread coronavirus even if they do not show symptoms, and not agreeing that you are concerned about spreading coronavirus to someone who is at risk were associated with non-adherence to this measure, as was increased worry about the impact of coronavirus on “your mental health”.</w:t>
      </w:r>
    </w:p>
    <w:p w14:paraId="661DF997" w14:textId="77777777" w:rsidR="00BE5A44" w:rsidRPr="00CC439A" w:rsidRDefault="00BE5A44" w:rsidP="00BE5A44">
      <w:pPr>
        <w:pStyle w:val="ListParagraph"/>
        <w:numPr>
          <w:ilvl w:val="0"/>
          <w:numId w:val="2"/>
        </w:numPr>
        <w:spacing w:after="240" w:line="360" w:lineRule="auto"/>
      </w:pPr>
      <w:r w:rsidRPr="00CC439A">
        <w:t>Worry about coronavirus, perceived risk to people in the UK, perceived severity of coronavirus to oneself, perceived likelihood of catching coronavirus, satisfaction with Government, credibility of Government, and worry about the impact of coronavirus on “your health” showed no association with non-adherence to this measure.</w:t>
      </w:r>
    </w:p>
    <w:p w14:paraId="26FD0D5E" w14:textId="77777777" w:rsidR="00BE5A44" w:rsidRPr="00CC439A" w:rsidRDefault="00BE5A44" w:rsidP="00BE5A44"/>
    <w:p w14:paraId="54F69E1F" w14:textId="77777777" w:rsidR="00BE5A44" w:rsidRPr="00CC439A" w:rsidRDefault="00BE5A44" w:rsidP="00BE5A44">
      <w:pPr>
        <w:pStyle w:val="BMJHeading3"/>
      </w:pPr>
      <w:r w:rsidRPr="00CC439A">
        <w:t>Other behaviours</w:t>
      </w:r>
    </w:p>
    <w:p w14:paraId="141CF656" w14:textId="77777777" w:rsidR="00BE5A44" w:rsidRPr="00CC439A" w:rsidRDefault="00BE5A44" w:rsidP="00BE5A44">
      <w:pPr>
        <w:pStyle w:val="ListParagraph"/>
        <w:numPr>
          <w:ilvl w:val="0"/>
          <w:numId w:val="2"/>
        </w:numPr>
        <w:spacing w:after="240" w:line="360" w:lineRule="auto"/>
      </w:pPr>
      <w:r w:rsidRPr="00CC439A">
        <w:t>We did not run analyse on factors associated with whether people left the home for a medical need or to help or provide care for a vulnerable person as there is no way of quantifying whether this need was “valid” or not – according to Government guidelines, all outings for these reasons are legitimate reasons to leave the home.</w:t>
      </w:r>
    </w:p>
    <w:p w14:paraId="36230A60" w14:textId="77777777" w:rsidR="00BE5A44" w:rsidRPr="00CC439A" w:rsidRDefault="00BE5A44" w:rsidP="00BE5A44">
      <w:pPr>
        <w:pStyle w:val="ListParagraph"/>
        <w:numPr>
          <w:ilvl w:val="0"/>
          <w:numId w:val="2"/>
        </w:numPr>
        <w:spacing w:after="240" w:line="360" w:lineRule="auto"/>
      </w:pPr>
      <w:r w:rsidRPr="00CC439A">
        <w:t xml:space="preserve">Going out for a medical need: </w:t>
      </w:r>
    </w:p>
    <w:p w14:paraId="7951C323" w14:textId="77777777" w:rsidR="00BE5A44" w:rsidRPr="00CC439A" w:rsidRDefault="00BE5A44" w:rsidP="00BE5A44">
      <w:pPr>
        <w:pStyle w:val="ListParagraph"/>
        <w:numPr>
          <w:ilvl w:val="1"/>
          <w:numId w:val="2"/>
        </w:numPr>
        <w:spacing w:after="240" w:line="360" w:lineRule="auto"/>
      </w:pPr>
      <w:r w:rsidRPr="00CC439A">
        <w:t>0 times in past seven days – 88% (n=1776), maximum number of times reported=20 (median without zero values = 1)</w:t>
      </w:r>
    </w:p>
    <w:p w14:paraId="0FD08DDC" w14:textId="77777777" w:rsidR="00BE5A44" w:rsidRDefault="00BE5A44" w:rsidP="00BE5A44">
      <w:pPr>
        <w:pStyle w:val="ListParagraph"/>
        <w:numPr>
          <w:ilvl w:val="0"/>
          <w:numId w:val="2"/>
        </w:numPr>
        <w:spacing w:after="240" w:line="360" w:lineRule="auto"/>
      </w:pPr>
      <w:r w:rsidRPr="00CC439A">
        <w:t xml:space="preserve">Helping or providing care for a vulnerable person: </w:t>
      </w:r>
    </w:p>
    <w:p w14:paraId="48F75932" w14:textId="0803AB55" w:rsidR="00BE5A44" w:rsidRPr="00BE5A44" w:rsidRDefault="00BE5A44" w:rsidP="00BE5A44">
      <w:pPr>
        <w:pStyle w:val="ListParagraph"/>
        <w:numPr>
          <w:ilvl w:val="1"/>
          <w:numId w:val="2"/>
        </w:numPr>
        <w:spacing w:after="240" w:line="360" w:lineRule="auto"/>
      </w:pPr>
      <w:r w:rsidRPr="00CC439A">
        <w:t>0 times in past seven days – 82% (n=1641), maximum number of times reported=22 (median without zero values = 2)</w:t>
      </w:r>
    </w:p>
    <w:p w14:paraId="18A124B3" w14:textId="7E7F2B86" w:rsidR="00680D50" w:rsidRDefault="00811F53">
      <w:pPr>
        <w:rPr>
          <w:i/>
          <w:iCs/>
        </w:rPr>
      </w:pPr>
      <w:r w:rsidRPr="002D2700">
        <w:rPr>
          <w:i/>
          <w:iCs/>
        </w:rPr>
        <w:lastRenderedPageBreak/>
        <w:t xml:space="preserve">Please note that this work </w:t>
      </w:r>
      <w:r>
        <w:rPr>
          <w:i/>
          <w:iCs/>
        </w:rPr>
        <w:t xml:space="preserve">has been conducted </w:t>
      </w:r>
      <w:r w:rsidRPr="002D2700">
        <w:rPr>
          <w:i/>
          <w:iCs/>
        </w:rPr>
        <w:t>rapid</w:t>
      </w:r>
      <w:r>
        <w:rPr>
          <w:i/>
          <w:iCs/>
        </w:rPr>
        <w:t>ly</w:t>
      </w:r>
      <w:r w:rsidRPr="002D2700">
        <w:rPr>
          <w:i/>
          <w:iCs/>
        </w:rPr>
        <w:t xml:space="preserve"> </w:t>
      </w:r>
      <w:r>
        <w:rPr>
          <w:i/>
          <w:iCs/>
        </w:rPr>
        <w:t xml:space="preserve">and has </w:t>
      </w:r>
      <w:r w:rsidRPr="002D2700">
        <w:rPr>
          <w:i/>
          <w:iCs/>
        </w:rPr>
        <w:t xml:space="preserve">not </w:t>
      </w:r>
      <w:r>
        <w:rPr>
          <w:i/>
          <w:iCs/>
        </w:rPr>
        <w:t xml:space="preserve">been </w:t>
      </w:r>
      <w:r w:rsidRPr="002D2700">
        <w:rPr>
          <w:i/>
          <w:iCs/>
        </w:rPr>
        <w:t xml:space="preserve">peer reviewed </w:t>
      </w:r>
      <w:r>
        <w:rPr>
          <w:i/>
          <w:iCs/>
        </w:rPr>
        <w:t>or</w:t>
      </w:r>
      <w:r w:rsidRPr="002D2700">
        <w:rPr>
          <w:i/>
          <w:iCs/>
        </w:rPr>
        <w:t xml:space="preserve"> subject to normal quality control measures.</w:t>
      </w:r>
      <w:r w:rsidR="00153613">
        <w:rPr>
          <w:i/>
          <w:iCs/>
        </w:rPr>
        <w:br/>
      </w:r>
    </w:p>
    <w:p w14:paraId="225A952F" w14:textId="77777777" w:rsidR="00BE5A44" w:rsidRDefault="00BE5A44" w:rsidP="00BE5A44">
      <w:pPr>
        <w:spacing w:after="160" w:line="256" w:lineRule="auto"/>
        <w:sectPr w:rsidR="00BE5A44">
          <w:headerReference w:type="default" r:id="rId10"/>
          <w:footerReference w:type="default" r:id="rId11"/>
          <w:pgSz w:w="11906" w:h="16838"/>
          <w:pgMar w:top="1440" w:right="1440" w:bottom="1440" w:left="1440" w:header="708" w:footer="708" w:gutter="0"/>
          <w:cols w:space="708"/>
          <w:docGrid w:linePitch="360"/>
        </w:sectPr>
      </w:pPr>
    </w:p>
    <w:p w14:paraId="64200D7F" w14:textId="22975312" w:rsidR="00BE5A44" w:rsidRDefault="00BE5A44" w:rsidP="00BE5A44">
      <w:pPr>
        <w:spacing w:after="160" w:line="256" w:lineRule="auto"/>
      </w:pPr>
      <w:r>
        <w:lastRenderedPageBreak/>
        <w:t>Table 1. Associations between personal characteristics, employment characteristics and non-adherence to social distancing measures</w:t>
      </w:r>
    </w:p>
    <w:tbl>
      <w:tblPr>
        <w:tblStyle w:val="TableGrid1"/>
        <w:tblW w:w="0" w:type="auto"/>
        <w:tblLook w:val="04A0" w:firstRow="1" w:lastRow="0" w:firstColumn="1" w:lastColumn="0" w:noHBand="0" w:noVBand="1"/>
      </w:tblPr>
      <w:tblGrid>
        <w:gridCol w:w="1456"/>
        <w:gridCol w:w="1925"/>
        <w:gridCol w:w="2856"/>
        <w:gridCol w:w="1985"/>
        <w:gridCol w:w="1984"/>
        <w:gridCol w:w="1701"/>
        <w:gridCol w:w="2051"/>
      </w:tblGrid>
      <w:tr w:rsidR="00BE5A44" w14:paraId="0C45E3D8" w14:textId="77777777" w:rsidTr="005E3A8C">
        <w:trPr>
          <w:trHeight w:val="289"/>
        </w:trPr>
        <w:tc>
          <w:tcPr>
            <w:tcW w:w="0" w:type="auto"/>
            <w:tcBorders>
              <w:top w:val="single" w:sz="12" w:space="0" w:color="auto"/>
              <w:left w:val="nil"/>
              <w:bottom w:val="single" w:sz="4" w:space="0" w:color="auto"/>
              <w:right w:val="nil"/>
            </w:tcBorders>
          </w:tcPr>
          <w:p w14:paraId="3CB2AAB6" w14:textId="77777777" w:rsidR="00BE5A44" w:rsidRDefault="00BE5A44" w:rsidP="005E3A8C">
            <w:pPr>
              <w:spacing w:after="0" w:line="240" w:lineRule="auto"/>
              <w:rPr>
                <w:b/>
                <w:sz w:val="18"/>
              </w:rPr>
            </w:pPr>
          </w:p>
        </w:tc>
        <w:tc>
          <w:tcPr>
            <w:tcW w:w="0" w:type="auto"/>
            <w:tcBorders>
              <w:top w:val="single" w:sz="12" w:space="0" w:color="auto"/>
              <w:left w:val="nil"/>
              <w:bottom w:val="single" w:sz="4" w:space="0" w:color="auto"/>
              <w:right w:val="nil"/>
            </w:tcBorders>
            <w:hideMark/>
          </w:tcPr>
          <w:p w14:paraId="2D4BDF56" w14:textId="77777777" w:rsidR="00BE5A44" w:rsidRDefault="00BE5A44" w:rsidP="005E3A8C">
            <w:pPr>
              <w:spacing w:after="0" w:line="240" w:lineRule="auto"/>
              <w:rPr>
                <w:b/>
                <w:sz w:val="18"/>
              </w:rPr>
            </w:pPr>
            <w:r>
              <w:rPr>
                <w:b/>
                <w:sz w:val="18"/>
              </w:rPr>
              <w:t>Participant characteristics</w:t>
            </w:r>
          </w:p>
        </w:tc>
        <w:tc>
          <w:tcPr>
            <w:tcW w:w="2856" w:type="dxa"/>
            <w:tcBorders>
              <w:top w:val="single" w:sz="12" w:space="0" w:color="auto"/>
              <w:left w:val="nil"/>
              <w:bottom w:val="single" w:sz="4" w:space="0" w:color="auto"/>
              <w:right w:val="nil"/>
            </w:tcBorders>
            <w:hideMark/>
          </w:tcPr>
          <w:p w14:paraId="52C3AA34" w14:textId="77777777" w:rsidR="00BE5A44" w:rsidRDefault="00BE5A44" w:rsidP="005E3A8C">
            <w:pPr>
              <w:spacing w:after="0" w:line="240" w:lineRule="auto"/>
              <w:rPr>
                <w:b/>
                <w:sz w:val="18"/>
              </w:rPr>
            </w:pPr>
            <w:r>
              <w:rPr>
                <w:b/>
                <w:sz w:val="18"/>
              </w:rPr>
              <w:t>Level</w:t>
            </w:r>
          </w:p>
        </w:tc>
        <w:tc>
          <w:tcPr>
            <w:tcW w:w="1985" w:type="dxa"/>
            <w:tcBorders>
              <w:top w:val="single" w:sz="12" w:space="0" w:color="auto"/>
              <w:left w:val="nil"/>
              <w:bottom w:val="single" w:sz="4" w:space="0" w:color="auto"/>
              <w:right w:val="nil"/>
            </w:tcBorders>
          </w:tcPr>
          <w:p w14:paraId="37655D11" w14:textId="77777777" w:rsidR="00BE5A44" w:rsidRDefault="00BE5A44" w:rsidP="005E3A8C">
            <w:pPr>
              <w:spacing w:after="0" w:line="240" w:lineRule="auto"/>
              <w:rPr>
                <w:b/>
                <w:sz w:val="18"/>
              </w:rPr>
            </w:pPr>
            <w:r>
              <w:rPr>
                <w:b/>
                <w:sz w:val="18"/>
              </w:rPr>
              <w:t>To go to the shops, for groceries/pharmacy (2 or more)</w:t>
            </w:r>
          </w:p>
        </w:tc>
        <w:tc>
          <w:tcPr>
            <w:tcW w:w="1984" w:type="dxa"/>
            <w:tcBorders>
              <w:top w:val="single" w:sz="12" w:space="0" w:color="auto"/>
              <w:left w:val="nil"/>
              <w:bottom w:val="single" w:sz="4" w:space="0" w:color="auto"/>
              <w:right w:val="nil"/>
            </w:tcBorders>
          </w:tcPr>
          <w:p w14:paraId="46B0164A" w14:textId="77777777" w:rsidR="00BE5A44" w:rsidRDefault="00BE5A44" w:rsidP="005E3A8C">
            <w:pPr>
              <w:spacing w:after="0" w:line="240" w:lineRule="auto"/>
              <w:rPr>
                <w:b/>
                <w:sz w:val="18"/>
              </w:rPr>
            </w:pPr>
            <w:r>
              <w:rPr>
                <w:b/>
                <w:sz w:val="18"/>
              </w:rPr>
              <w:t>To go to the shops, for things other than groceries/pharmacy (1 or more)</w:t>
            </w:r>
          </w:p>
        </w:tc>
        <w:tc>
          <w:tcPr>
            <w:tcW w:w="1701" w:type="dxa"/>
            <w:tcBorders>
              <w:top w:val="single" w:sz="12" w:space="0" w:color="auto"/>
              <w:left w:val="nil"/>
              <w:bottom w:val="single" w:sz="4" w:space="0" w:color="auto"/>
              <w:right w:val="nil"/>
            </w:tcBorders>
            <w:hideMark/>
          </w:tcPr>
          <w:p w14:paraId="6C53E8CD" w14:textId="77777777" w:rsidR="00BE5A44" w:rsidRDefault="00BE5A44" w:rsidP="005E3A8C">
            <w:pPr>
              <w:spacing w:after="0" w:line="240" w:lineRule="auto"/>
              <w:rPr>
                <w:b/>
                <w:sz w:val="18"/>
              </w:rPr>
            </w:pPr>
            <w:r>
              <w:rPr>
                <w:b/>
                <w:sz w:val="18"/>
              </w:rPr>
              <w:t>To go out to work (1 or more) (n=540) §</w:t>
            </w:r>
          </w:p>
        </w:tc>
        <w:tc>
          <w:tcPr>
            <w:tcW w:w="2051" w:type="dxa"/>
            <w:tcBorders>
              <w:top w:val="single" w:sz="12" w:space="0" w:color="auto"/>
              <w:left w:val="nil"/>
              <w:bottom w:val="single" w:sz="4" w:space="0" w:color="auto"/>
              <w:right w:val="nil"/>
            </w:tcBorders>
            <w:hideMark/>
          </w:tcPr>
          <w:p w14:paraId="6A16EB18" w14:textId="77777777" w:rsidR="00BE5A44" w:rsidRDefault="00BE5A44" w:rsidP="005E3A8C">
            <w:pPr>
              <w:spacing w:after="0" w:line="240" w:lineRule="auto"/>
              <w:rPr>
                <w:b/>
                <w:sz w:val="18"/>
              </w:rPr>
            </w:pPr>
            <w:r>
              <w:rPr>
                <w:b/>
                <w:sz w:val="18"/>
              </w:rPr>
              <w:t>To meet up with friends and/or family that you don’t live with (1 or more)</w:t>
            </w:r>
          </w:p>
        </w:tc>
      </w:tr>
      <w:tr w:rsidR="00BE5A44" w14:paraId="29B2EAD4" w14:textId="77777777" w:rsidTr="005E3A8C">
        <w:trPr>
          <w:trHeight w:val="171"/>
        </w:trPr>
        <w:tc>
          <w:tcPr>
            <w:tcW w:w="0" w:type="auto"/>
            <w:vMerge w:val="restart"/>
            <w:tcBorders>
              <w:top w:val="single" w:sz="12" w:space="0" w:color="auto"/>
              <w:left w:val="nil"/>
              <w:bottom w:val="single" w:sz="4" w:space="0" w:color="auto"/>
              <w:right w:val="nil"/>
            </w:tcBorders>
            <w:hideMark/>
          </w:tcPr>
          <w:p w14:paraId="70428D10" w14:textId="77777777" w:rsidR="00BE5A44" w:rsidRDefault="00BE5A44" w:rsidP="005E3A8C">
            <w:pPr>
              <w:spacing w:after="0" w:line="240" w:lineRule="auto"/>
              <w:rPr>
                <w:sz w:val="18"/>
              </w:rPr>
            </w:pPr>
            <w:r>
              <w:rPr>
                <w:sz w:val="18"/>
              </w:rPr>
              <w:t>Personal characteristics</w:t>
            </w:r>
          </w:p>
        </w:tc>
        <w:tc>
          <w:tcPr>
            <w:tcW w:w="0" w:type="auto"/>
            <w:vMerge w:val="restart"/>
            <w:tcBorders>
              <w:top w:val="single" w:sz="12" w:space="0" w:color="auto"/>
              <w:left w:val="nil"/>
              <w:bottom w:val="nil"/>
              <w:right w:val="nil"/>
            </w:tcBorders>
            <w:hideMark/>
          </w:tcPr>
          <w:p w14:paraId="442A9679" w14:textId="77777777" w:rsidR="00BE5A44" w:rsidRDefault="00BE5A44" w:rsidP="005E3A8C">
            <w:pPr>
              <w:spacing w:after="0" w:line="240" w:lineRule="auto"/>
              <w:rPr>
                <w:sz w:val="18"/>
              </w:rPr>
            </w:pPr>
            <w:r>
              <w:rPr>
                <w:sz w:val="18"/>
              </w:rPr>
              <w:t>Gender</w:t>
            </w:r>
          </w:p>
        </w:tc>
        <w:tc>
          <w:tcPr>
            <w:tcW w:w="2856" w:type="dxa"/>
            <w:tcBorders>
              <w:top w:val="single" w:sz="12" w:space="0" w:color="auto"/>
              <w:left w:val="nil"/>
              <w:bottom w:val="nil"/>
              <w:right w:val="nil"/>
            </w:tcBorders>
            <w:hideMark/>
          </w:tcPr>
          <w:p w14:paraId="30DB7CF2" w14:textId="77777777" w:rsidR="00BE5A44" w:rsidRDefault="00BE5A44" w:rsidP="005E3A8C">
            <w:pPr>
              <w:spacing w:after="0" w:line="240" w:lineRule="auto"/>
              <w:rPr>
                <w:sz w:val="18"/>
              </w:rPr>
            </w:pPr>
            <w:r>
              <w:rPr>
                <w:sz w:val="18"/>
              </w:rPr>
              <w:t>Male</w:t>
            </w:r>
          </w:p>
        </w:tc>
        <w:tc>
          <w:tcPr>
            <w:tcW w:w="1985" w:type="dxa"/>
            <w:tcBorders>
              <w:top w:val="single" w:sz="12" w:space="0" w:color="auto"/>
              <w:left w:val="nil"/>
              <w:bottom w:val="nil"/>
              <w:right w:val="nil"/>
            </w:tcBorders>
            <w:hideMark/>
          </w:tcPr>
          <w:p w14:paraId="6F551359" w14:textId="77777777" w:rsidR="00BE5A44" w:rsidRDefault="00BE5A44" w:rsidP="005E3A8C">
            <w:pPr>
              <w:spacing w:after="0" w:line="240" w:lineRule="auto"/>
              <w:rPr>
                <w:sz w:val="18"/>
              </w:rPr>
            </w:pPr>
            <w:r>
              <w:rPr>
                <w:sz w:val="18"/>
              </w:rPr>
              <w:t>Reference</w:t>
            </w:r>
          </w:p>
        </w:tc>
        <w:tc>
          <w:tcPr>
            <w:tcW w:w="1984" w:type="dxa"/>
            <w:tcBorders>
              <w:top w:val="single" w:sz="12" w:space="0" w:color="auto"/>
              <w:left w:val="nil"/>
              <w:bottom w:val="nil"/>
              <w:right w:val="nil"/>
            </w:tcBorders>
            <w:hideMark/>
          </w:tcPr>
          <w:p w14:paraId="2DD42974" w14:textId="77777777" w:rsidR="00BE5A44" w:rsidRDefault="00BE5A44" w:rsidP="005E3A8C">
            <w:pPr>
              <w:spacing w:after="0" w:line="240" w:lineRule="auto"/>
              <w:rPr>
                <w:sz w:val="18"/>
              </w:rPr>
            </w:pPr>
            <w:r>
              <w:rPr>
                <w:sz w:val="18"/>
              </w:rPr>
              <w:t>Reference</w:t>
            </w:r>
          </w:p>
        </w:tc>
        <w:tc>
          <w:tcPr>
            <w:tcW w:w="1701" w:type="dxa"/>
            <w:tcBorders>
              <w:top w:val="single" w:sz="12" w:space="0" w:color="auto"/>
              <w:left w:val="nil"/>
              <w:bottom w:val="nil"/>
              <w:right w:val="nil"/>
            </w:tcBorders>
            <w:hideMark/>
          </w:tcPr>
          <w:p w14:paraId="3F47252D" w14:textId="77777777" w:rsidR="00BE5A44" w:rsidRDefault="00BE5A44" w:rsidP="005E3A8C">
            <w:pPr>
              <w:spacing w:after="0" w:line="240" w:lineRule="auto"/>
              <w:rPr>
                <w:sz w:val="18"/>
              </w:rPr>
            </w:pPr>
            <w:r>
              <w:rPr>
                <w:sz w:val="18"/>
              </w:rPr>
              <w:t>Reference</w:t>
            </w:r>
          </w:p>
        </w:tc>
        <w:tc>
          <w:tcPr>
            <w:tcW w:w="2051" w:type="dxa"/>
            <w:tcBorders>
              <w:top w:val="single" w:sz="12" w:space="0" w:color="auto"/>
              <w:left w:val="nil"/>
              <w:bottom w:val="nil"/>
              <w:right w:val="nil"/>
            </w:tcBorders>
            <w:hideMark/>
          </w:tcPr>
          <w:p w14:paraId="276A079D" w14:textId="77777777" w:rsidR="00BE5A44" w:rsidRDefault="00BE5A44" w:rsidP="005E3A8C">
            <w:pPr>
              <w:spacing w:after="0" w:line="240" w:lineRule="auto"/>
              <w:rPr>
                <w:sz w:val="18"/>
              </w:rPr>
            </w:pPr>
            <w:r>
              <w:rPr>
                <w:sz w:val="18"/>
              </w:rPr>
              <w:t>Reference</w:t>
            </w:r>
          </w:p>
        </w:tc>
      </w:tr>
      <w:tr w:rsidR="00BE5A44" w14:paraId="77A339DD" w14:textId="77777777" w:rsidTr="005E3A8C">
        <w:trPr>
          <w:trHeight w:val="178"/>
        </w:trPr>
        <w:tc>
          <w:tcPr>
            <w:tcW w:w="0" w:type="auto"/>
            <w:vMerge/>
            <w:tcBorders>
              <w:top w:val="single" w:sz="12" w:space="0" w:color="auto"/>
              <w:left w:val="nil"/>
              <w:bottom w:val="single" w:sz="4" w:space="0" w:color="auto"/>
              <w:right w:val="nil"/>
            </w:tcBorders>
            <w:vAlign w:val="center"/>
            <w:hideMark/>
          </w:tcPr>
          <w:p w14:paraId="4FE783DB" w14:textId="77777777" w:rsidR="00BE5A44" w:rsidRDefault="00BE5A44" w:rsidP="005E3A8C">
            <w:pPr>
              <w:spacing w:after="0" w:line="240" w:lineRule="auto"/>
              <w:rPr>
                <w:sz w:val="18"/>
              </w:rPr>
            </w:pPr>
          </w:p>
        </w:tc>
        <w:tc>
          <w:tcPr>
            <w:tcW w:w="0" w:type="auto"/>
            <w:vMerge/>
            <w:tcBorders>
              <w:top w:val="single" w:sz="12" w:space="0" w:color="auto"/>
              <w:left w:val="nil"/>
              <w:bottom w:val="nil"/>
              <w:right w:val="nil"/>
            </w:tcBorders>
            <w:vAlign w:val="center"/>
            <w:hideMark/>
          </w:tcPr>
          <w:p w14:paraId="7FBA5547" w14:textId="77777777" w:rsidR="00BE5A44" w:rsidRDefault="00BE5A44" w:rsidP="005E3A8C">
            <w:pPr>
              <w:spacing w:after="0" w:line="240" w:lineRule="auto"/>
              <w:rPr>
                <w:sz w:val="18"/>
              </w:rPr>
            </w:pPr>
          </w:p>
        </w:tc>
        <w:tc>
          <w:tcPr>
            <w:tcW w:w="2856" w:type="dxa"/>
            <w:tcBorders>
              <w:top w:val="nil"/>
              <w:left w:val="nil"/>
              <w:bottom w:val="nil"/>
              <w:right w:val="nil"/>
            </w:tcBorders>
            <w:hideMark/>
          </w:tcPr>
          <w:p w14:paraId="2A667423" w14:textId="77777777" w:rsidR="00BE5A44" w:rsidRDefault="00BE5A44" w:rsidP="005E3A8C">
            <w:pPr>
              <w:spacing w:after="0" w:line="240" w:lineRule="auto"/>
              <w:rPr>
                <w:sz w:val="18"/>
              </w:rPr>
            </w:pPr>
            <w:r>
              <w:rPr>
                <w:sz w:val="18"/>
              </w:rPr>
              <w:t>Female</w:t>
            </w:r>
          </w:p>
        </w:tc>
        <w:tc>
          <w:tcPr>
            <w:tcW w:w="1985" w:type="dxa"/>
            <w:tcBorders>
              <w:top w:val="nil"/>
              <w:left w:val="nil"/>
              <w:bottom w:val="nil"/>
              <w:right w:val="nil"/>
            </w:tcBorders>
            <w:hideMark/>
          </w:tcPr>
          <w:p w14:paraId="3782398F"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0.74 (0.61 to 0.89)*</w:t>
            </w:r>
          </w:p>
        </w:tc>
        <w:tc>
          <w:tcPr>
            <w:tcW w:w="1984" w:type="dxa"/>
            <w:tcBorders>
              <w:top w:val="nil"/>
              <w:left w:val="nil"/>
              <w:bottom w:val="nil"/>
              <w:right w:val="nil"/>
            </w:tcBorders>
            <w:hideMark/>
          </w:tcPr>
          <w:p w14:paraId="19E6EA6F"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0.45 (0.35 to 0.58)*</w:t>
            </w:r>
          </w:p>
        </w:tc>
        <w:tc>
          <w:tcPr>
            <w:tcW w:w="1701" w:type="dxa"/>
            <w:tcBorders>
              <w:top w:val="nil"/>
              <w:left w:val="nil"/>
              <w:bottom w:val="nil"/>
              <w:right w:val="nil"/>
            </w:tcBorders>
            <w:hideMark/>
          </w:tcPr>
          <w:p w14:paraId="4ABC62BD"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0.62 (0.36 to 1.07)</w:t>
            </w:r>
          </w:p>
        </w:tc>
        <w:tc>
          <w:tcPr>
            <w:tcW w:w="2051" w:type="dxa"/>
            <w:tcBorders>
              <w:top w:val="nil"/>
              <w:left w:val="nil"/>
              <w:bottom w:val="nil"/>
              <w:right w:val="nil"/>
            </w:tcBorders>
            <w:hideMark/>
          </w:tcPr>
          <w:p w14:paraId="3824D244"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0.37 (0.22 to 0.61)*</w:t>
            </w:r>
          </w:p>
        </w:tc>
      </w:tr>
      <w:tr w:rsidR="00BE5A44" w14:paraId="49652820"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4BEFD835"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4B464C15" w14:textId="77777777" w:rsidR="00BE5A44" w:rsidRPr="009A706D" w:rsidRDefault="00BE5A44" w:rsidP="005E3A8C">
            <w:pPr>
              <w:spacing w:after="0" w:line="240" w:lineRule="auto"/>
              <w:rPr>
                <w:color w:val="000000" w:themeColor="text1"/>
                <w:sz w:val="18"/>
              </w:rPr>
            </w:pPr>
            <w:r w:rsidRPr="009A706D">
              <w:rPr>
                <w:color w:val="000000" w:themeColor="text1"/>
                <w:sz w:val="18"/>
              </w:rPr>
              <w:t>Age</w:t>
            </w:r>
          </w:p>
        </w:tc>
        <w:tc>
          <w:tcPr>
            <w:tcW w:w="2856" w:type="dxa"/>
            <w:tcBorders>
              <w:top w:val="single" w:sz="4" w:space="0" w:color="auto"/>
              <w:left w:val="nil"/>
              <w:bottom w:val="nil"/>
              <w:right w:val="nil"/>
            </w:tcBorders>
            <w:hideMark/>
          </w:tcPr>
          <w:p w14:paraId="62E1B1DF" w14:textId="77777777" w:rsidR="00BE5A44" w:rsidRPr="009A706D" w:rsidRDefault="00BE5A44" w:rsidP="005E3A8C">
            <w:pPr>
              <w:spacing w:after="0" w:line="240" w:lineRule="auto"/>
              <w:rPr>
                <w:color w:val="000000" w:themeColor="text1"/>
                <w:sz w:val="18"/>
              </w:rPr>
            </w:pPr>
            <w:r w:rsidRPr="009A706D">
              <w:rPr>
                <w:color w:val="000000" w:themeColor="text1"/>
                <w:sz w:val="18"/>
              </w:rPr>
              <w:t>16-24 years</w:t>
            </w:r>
          </w:p>
        </w:tc>
        <w:tc>
          <w:tcPr>
            <w:tcW w:w="1985" w:type="dxa"/>
            <w:tcBorders>
              <w:top w:val="single" w:sz="4" w:space="0" w:color="auto"/>
              <w:left w:val="nil"/>
              <w:bottom w:val="nil"/>
              <w:right w:val="nil"/>
            </w:tcBorders>
            <w:hideMark/>
          </w:tcPr>
          <w:p w14:paraId="0771959A" w14:textId="77777777" w:rsidR="00BE5A44" w:rsidRPr="009A706D" w:rsidRDefault="00BE5A44" w:rsidP="005E3A8C">
            <w:pPr>
              <w:spacing w:after="0" w:line="240" w:lineRule="auto"/>
              <w:rPr>
                <w:color w:val="000000" w:themeColor="text1"/>
                <w:sz w:val="18"/>
              </w:rPr>
            </w:pPr>
            <w:r w:rsidRPr="009A706D">
              <w:rPr>
                <w:color w:val="000000" w:themeColor="text1"/>
                <w:sz w:val="18"/>
              </w:rPr>
              <w:t>Reference</w:t>
            </w:r>
          </w:p>
        </w:tc>
        <w:tc>
          <w:tcPr>
            <w:tcW w:w="1984" w:type="dxa"/>
            <w:tcBorders>
              <w:top w:val="single" w:sz="4" w:space="0" w:color="auto"/>
              <w:left w:val="nil"/>
              <w:bottom w:val="nil"/>
              <w:right w:val="nil"/>
            </w:tcBorders>
            <w:hideMark/>
          </w:tcPr>
          <w:p w14:paraId="2B84E367" w14:textId="77777777" w:rsidR="00BE5A44" w:rsidRPr="009A706D" w:rsidRDefault="00BE5A44" w:rsidP="005E3A8C">
            <w:pPr>
              <w:spacing w:after="0" w:line="240" w:lineRule="auto"/>
              <w:rPr>
                <w:color w:val="000000" w:themeColor="text1"/>
                <w:sz w:val="18"/>
              </w:rPr>
            </w:pPr>
            <w:r w:rsidRPr="009A706D">
              <w:rPr>
                <w:color w:val="000000" w:themeColor="text1"/>
                <w:sz w:val="18"/>
              </w:rPr>
              <w:t>Reference</w:t>
            </w:r>
          </w:p>
        </w:tc>
        <w:tc>
          <w:tcPr>
            <w:tcW w:w="1701" w:type="dxa"/>
            <w:tcBorders>
              <w:top w:val="single" w:sz="4" w:space="0" w:color="auto"/>
              <w:left w:val="nil"/>
              <w:bottom w:val="nil"/>
              <w:right w:val="nil"/>
            </w:tcBorders>
            <w:hideMark/>
          </w:tcPr>
          <w:p w14:paraId="2414B193" w14:textId="77777777" w:rsidR="00BE5A44" w:rsidRPr="009A706D" w:rsidRDefault="00BE5A44" w:rsidP="005E3A8C">
            <w:pPr>
              <w:spacing w:after="0" w:line="240" w:lineRule="auto"/>
              <w:rPr>
                <w:color w:val="000000" w:themeColor="text1"/>
                <w:sz w:val="18"/>
              </w:rPr>
            </w:pPr>
            <w:r w:rsidRPr="009A706D">
              <w:rPr>
                <w:color w:val="000000" w:themeColor="text1"/>
                <w:sz w:val="18"/>
              </w:rPr>
              <w:t>Reference</w:t>
            </w:r>
          </w:p>
        </w:tc>
        <w:tc>
          <w:tcPr>
            <w:tcW w:w="2051" w:type="dxa"/>
            <w:tcBorders>
              <w:top w:val="single" w:sz="4" w:space="0" w:color="auto"/>
              <w:left w:val="nil"/>
              <w:bottom w:val="nil"/>
              <w:right w:val="nil"/>
            </w:tcBorders>
            <w:hideMark/>
          </w:tcPr>
          <w:p w14:paraId="48ED0EFF" w14:textId="77777777" w:rsidR="00BE5A44" w:rsidRPr="009A706D" w:rsidRDefault="00BE5A44" w:rsidP="005E3A8C">
            <w:pPr>
              <w:spacing w:after="0" w:line="240" w:lineRule="auto"/>
              <w:rPr>
                <w:color w:val="000000" w:themeColor="text1"/>
                <w:sz w:val="18"/>
              </w:rPr>
            </w:pPr>
            <w:r w:rsidRPr="009A706D">
              <w:rPr>
                <w:color w:val="000000" w:themeColor="text1"/>
                <w:sz w:val="18"/>
              </w:rPr>
              <w:t>Reference</w:t>
            </w:r>
          </w:p>
        </w:tc>
      </w:tr>
      <w:tr w:rsidR="00BE5A44" w14:paraId="6BFB62E0"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48C12526"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34BAEE42" w14:textId="77777777" w:rsidR="00BE5A44" w:rsidRPr="009A706D" w:rsidRDefault="00BE5A44" w:rsidP="005E3A8C">
            <w:pPr>
              <w:spacing w:after="0" w:line="240" w:lineRule="auto"/>
              <w:rPr>
                <w:color w:val="000000" w:themeColor="text1"/>
                <w:sz w:val="18"/>
              </w:rPr>
            </w:pPr>
          </w:p>
        </w:tc>
        <w:tc>
          <w:tcPr>
            <w:tcW w:w="2856" w:type="dxa"/>
            <w:tcBorders>
              <w:top w:val="nil"/>
              <w:left w:val="nil"/>
              <w:bottom w:val="nil"/>
              <w:right w:val="nil"/>
            </w:tcBorders>
            <w:hideMark/>
          </w:tcPr>
          <w:p w14:paraId="02533073" w14:textId="77777777" w:rsidR="00BE5A44" w:rsidRPr="009A706D" w:rsidRDefault="00BE5A44" w:rsidP="005E3A8C">
            <w:pPr>
              <w:spacing w:after="0" w:line="240" w:lineRule="auto"/>
              <w:rPr>
                <w:color w:val="000000" w:themeColor="text1"/>
                <w:sz w:val="18"/>
              </w:rPr>
            </w:pPr>
            <w:r w:rsidRPr="009A706D">
              <w:rPr>
                <w:color w:val="000000" w:themeColor="text1"/>
                <w:sz w:val="18"/>
              </w:rPr>
              <w:t>25-34</w:t>
            </w:r>
          </w:p>
        </w:tc>
        <w:tc>
          <w:tcPr>
            <w:tcW w:w="1985" w:type="dxa"/>
            <w:tcBorders>
              <w:top w:val="nil"/>
              <w:left w:val="nil"/>
              <w:bottom w:val="nil"/>
              <w:right w:val="nil"/>
            </w:tcBorders>
            <w:hideMark/>
          </w:tcPr>
          <w:p w14:paraId="4C76506B"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0.8 (0.54 to 1.18)</w:t>
            </w:r>
          </w:p>
        </w:tc>
        <w:tc>
          <w:tcPr>
            <w:tcW w:w="1984" w:type="dxa"/>
            <w:tcBorders>
              <w:top w:val="nil"/>
              <w:left w:val="nil"/>
              <w:bottom w:val="nil"/>
              <w:right w:val="nil"/>
            </w:tcBorders>
            <w:hideMark/>
          </w:tcPr>
          <w:p w14:paraId="71F7EBE4"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0.74 (0.47 to 1.17)</w:t>
            </w:r>
          </w:p>
        </w:tc>
        <w:tc>
          <w:tcPr>
            <w:tcW w:w="1701" w:type="dxa"/>
            <w:tcBorders>
              <w:top w:val="nil"/>
              <w:left w:val="nil"/>
              <w:bottom w:val="nil"/>
              <w:right w:val="nil"/>
            </w:tcBorders>
            <w:hideMark/>
          </w:tcPr>
          <w:p w14:paraId="4F21848F"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cs="Times"/>
                <w:color w:val="000000" w:themeColor="text1"/>
                <w:sz w:val="18"/>
                <w:szCs w:val="18"/>
              </w:rPr>
              <w:t>0.55 (0.19 to 1.57)</w:t>
            </w:r>
          </w:p>
        </w:tc>
        <w:tc>
          <w:tcPr>
            <w:tcW w:w="2051" w:type="dxa"/>
            <w:tcBorders>
              <w:top w:val="nil"/>
              <w:left w:val="nil"/>
              <w:bottom w:val="nil"/>
              <w:right w:val="nil"/>
            </w:tcBorders>
            <w:hideMark/>
          </w:tcPr>
          <w:p w14:paraId="53E7502B"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0.8 (0.39 to 1.66)</w:t>
            </w:r>
          </w:p>
        </w:tc>
      </w:tr>
      <w:tr w:rsidR="00BE5A44" w14:paraId="27C37436"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260D22BD"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60FA6DC5" w14:textId="77777777" w:rsidR="00BE5A44" w:rsidRPr="009A706D" w:rsidRDefault="00BE5A44" w:rsidP="005E3A8C">
            <w:pPr>
              <w:spacing w:after="0" w:line="240" w:lineRule="auto"/>
              <w:rPr>
                <w:color w:val="000000" w:themeColor="text1"/>
                <w:sz w:val="18"/>
              </w:rPr>
            </w:pPr>
          </w:p>
        </w:tc>
        <w:tc>
          <w:tcPr>
            <w:tcW w:w="2856" w:type="dxa"/>
            <w:tcBorders>
              <w:top w:val="nil"/>
              <w:left w:val="nil"/>
              <w:bottom w:val="nil"/>
              <w:right w:val="nil"/>
            </w:tcBorders>
            <w:hideMark/>
          </w:tcPr>
          <w:p w14:paraId="025218DA" w14:textId="77777777" w:rsidR="00BE5A44" w:rsidRPr="009A706D" w:rsidRDefault="00BE5A44" w:rsidP="005E3A8C">
            <w:pPr>
              <w:spacing w:after="0" w:line="240" w:lineRule="auto"/>
              <w:rPr>
                <w:color w:val="000000" w:themeColor="text1"/>
                <w:sz w:val="18"/>
              </w:rPr>
            </w:pPr>
            <w:r w:rsidRPr="009A706D">
              <w:rPr>
                <w:color w:val="000000" w:themeColor="text1"/>
                <w:sz w:val="18"/>
              </w:rPr>
              <w:t>35-44</w:t>
            </w:r>
          </w:p>
        </w:tc>
        <w:tc>
          <w:tcPr>
            <w:tcW w:w="1985" w:type="dxa"/>
            <w:tcBorders>
              <w:top w:val="nil"/>
              <w:left w:val="nil"/>
              <w:bottom w:val="nil"/>
              <w:right w:val="nil"/>
            </w:tcBorders>
            <w:hideMark/>
          </w:tcPr>
          <w:p w14:paraId="22902775"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1.01 (0.68 to 1.5)</w:t>
            </w:r>
          </w:p>
        </w:tc>
        <w:tc>
          <w:tcPr>
            <w:tcW w:w="1984" w:type="dxa"/>
            <w:tcBorders>
              <w:top w:val="nil"/>
              <w:left w:val="nil"/>
              <w:bottom w:val="nil"/>
              <w:right w:val="nil"/>
            </w:tcBorders>
            <w:hideMark/>
          </w:tcPr>
          <w:p w14:paraId="0F467931"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0.54 (0.34 to 0.87)*</w:t>
            </w:r>
          </w:p>
        </w:tc>
        <w:tc>
          <w:tcPr>
            <w:tcW w:w="1701" w:type="dxa"/>
            <w:tcBorders>
              <w:top w:val="nil"/>
              <w:left w:val="nil"/>
              <w:bottom w:val="nil"/>
              <w:right w:val="nil"/>
            </w:tcBorders>
            <w:hideMark/>
          </w:tcPr>
          <w:p w14:paraId="1DA4146F"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0.48 (0.16 to 1.43)</w:t>
            </w:r>
          </w:p>
        </w:tc>
        <w:tc>
          <w:tcPr>
            <w:tcW w:w="2051" w:type="dxa"/>
            <w:tcBorders>
              <w:top w:val="nil"/>
              <w:left w:val="nil"/>
              <w:bottom w:val="nil"/>
              <w:right w:val="nil"/>
            </w:tcBorders>
            <w:hideMark/>
          </w:tcPr>
          <w:p w14:paraId="3AB0B2AD"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0.27 (0.11 to 0.65)*</w:t>
            </w:r>
          </w:p>
        </w:tc>
      </w:tr>
      <w:tr w:rsidR="00BE5A44" w14:paraId="4D47539C"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104DFB89"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1AB767ED" w14:textId="77777777" w:rsidR="00BE5A44" w:rsidRPr="009A706D" w:rsidRDefault="00BE5A44" w:rsidP="005E3A8C">
            <w:pPr>
              <w:spacing w:after="0" w:line="240" w:lineRule="auto"/>
              <w:rPr>
                <w:color w:val="000000" w:themeColor="text1"/>
                <w:sz w:val="18"/>
              </w:rPr>
            </w:pPr>
          </w:p>
        </w:tc>
        <w:tc>
          <w:tcPr>
            <w:tcW w:w="2856" w:type="dxa"/>
            <w:tcBorders>
              <w:top w:val="nil"/>
              <w:left w:val="nil"/>
              <w:bottom w:val="nil"/>
              <w:right w:val="nil"/>
            </w:tcBorders>
            <w:hideMark/>
          </w:tcPr>
          <w:p w14:paraId="091AA892" w14:textId="77777777" w:rsidR="00BE5A44" w:rsidRPr="009A706D" w:rsidRDefault="00BE5A44" w:rsidP="005E3A8C">
            <w:pPr>
              <w:spacing w:after="0" w:line="240" w:lineRule="auto"/>
              <w:rPr>
                <w:color w:val="000000" w:themeColor="text1"/>
                <w:sz w:val="18"/>
              </w:rPr>
            </w:pPr>
            <w:r w:rsidRPr="009A706D">
              <w:rPr>
                <w:color w:val="000000" w:themeColor="text1"/>
                <w:sz w:val="18"/>
              </w:rPr>
              <w:t>45-54</w:t>
            </w:r>
          </w:p>
        </w:tc>
        <w:tc>
          <w:tcPr>
            <w:tcW w:w="1985" w:type="dxa"/>
            <w:tcBorders>
              <w:top w:val="nil"/>
              <w:left w:val="nil"/>
              <w:bottom w:val="nil"/>
              <w:right w:val="nil"/>
            </w:tcBorders>
            <w:hideMark/>
          </w:tcPr>
          <w:p w14:paraId="5EC1A8BA"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1.05 (0.71 to 1.55)</w:t>
            </w:r>
          </w:p>
        </w:tc>
        <w:tc>
          <w:tcPr>
            <w:tcW w:w="1984" w:type="dxa"/>
            <w:tcBorders>
              <w:top w:val="nil"/>
              <w:left w:val="nil"/>
              <w:bottom w:val="nil"/>
              <w:right w:val="nil"/>
            </w:tcBorders>
            <w:hideMark/>
          </w:tcPr>
          <w:p w14:paraId="4672D08B"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0.38 (0.23 to 0.61)*</w:t>
            </w:r>
          </w:p>
        </w:tc>
        <w:tc>
          <w:tcPr>
            <w:tcW w:w="1701" w:type="dxa"/>
            <w:tcBorders>
              <w:top w:val="nil"/>
              <w:left w:val="nil"/>
              <w:bottom w:val="nil"/>
              <w:right w:val="nil"/>
            </w:tcBorders>
            <w:hideMark/>
          </w:tcPr>
          <w:p w14:paraId="3DB750B1"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0.54 (0.19 to 1.53)</w:t>
            </w:r>
          </w:p>
        </w:tc>
        <w:tc>
          <w:tcPr>
            <w:tcW w:w="2051" w:type="dxa"/>
            <w:tcBorders>
              <w:top w:val="nil"/>
              <w:left w:val="nil"/>
              <w:bottom w:val="nil"/>
              <w:right w:val="nil"/>
            </w:tcBorders>
            <w:hideMark/>
          </w:tcPr>
          <w:p w14:paraId="3C9F7B3B"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0.3 (0.13 to 0.73)*</w:t>
            </w:r>
          </w:p>
        </w:tc>
      </w:tr>
      <w:tr w:rsidR="00BE5A44" w14:paraId="1E2BAC9E"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445F64F5"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1AB0EA51" w14:textId="77777777" w:rsidR="00BE5A44" w:rsidRPr="009A706D" w:rsidRDefault="00BE5A44" w:rsidP="005E3A8C">
            <w:pPr>
              <w:spacing w:after="0" w:line="240" w:lineRule="auto"/>
              <w:rPr>
                <w:color w:val="000000" w:themeColor="text1"/>
                <w:sz w:val="18"/>
              </w:rPr>
            </w:pPr>
          </w:p>
        </w:tc>
        <w:tc>
          <w:tcPr>
            <w:tcW w:w="2856" w:type="dxa"/>
            <w:tcBorders>
              <w:top w:val="nil"/>
              <w:left w:val="nil"/>
              <w:bottom w:val="nil"/>
              <w:right w:val="nil"/>
            </w:tcBorders>
            <w:hideMark/>
          </w:tcPr>
          <w:p w14:paraId="1019DAB4" w14:textId="77777777" w:rsidR="00BE5A44" w:rsidRPr="009A706D" w:rsidRDefault="00BE5A44" w:rsidP="005E3A8C">
            <w:pPr>
              <w:spacing w:after="0" w:line="240" w:lineRule="auto"/>
              <w:rPr>
                <w:color w:val="000000" w:themeColor="text1"/>
                <w:sz w:val="18"/>
              </w:rPr>
            </w:pPr>
            <w:r w:rsidRPr="009A706D">
              <w:rPr>
                <w:color w:val="000000" w:themeColor="text1"/>
                <w:sz w:val="18"/>
              </w:rPr>
              <w:t>55-64</w:t>
            </w:r>
          </w:p>
        </w:tc>
        <w:tc>
          <w:tcPr>
            <w:tcW w:w="1985" w:type="dxa"/>
            <w:tcBorders>
              <w:top w:val="nil"/>
              <w:left w:val="nil"/>
              <w:bottom w:val="nil"/>
              <w:right w:val="nil"/>
            </w:tcBorders>
            <w:hideMark/>
          </w:tcPr>
          <w:p w14:paraId="4AE7E47C"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1 (0.67 to 1.5)</w:t>
            </w:r>
          </w:p>
        </w:tc>
        <w:tc>
          <w:tcPr>
            <w:tcW w:w="1984" w:type="dxa"/>
            <w:tcBorders>
              <w:top w:val="nil"/>
              <w:left w:val="nil"/>
              <w:bottom w:val="nil"/>
              <w:right w:val="nil"/>
            </w:tcBorders>
            <w:hideMark/>
          </w:tcPr>
          <w:p w14:paraId="3D35529F"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0.23 (0.13 to 0.4)*</w:t>
            </w:r>
          </w:p>
        </w:tc>
        <w:tc>
          <w:tcPr>
            <w:tcW w:w="1701" w:type="dxa"/>
            <w:tcBorders>
              <w:top w:val="nil"/>
              <w:left w:val="nil"/>
              <w:bottom w:val="nil"/>
              <w:right w:val="nil"/>
            </w:tcBorders>
            <w:hideMark/>
          </w:tcPr>
          <w:p w14:paraId="41AF74FA"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0.57 (0.18 to 1.78)</w:t>
            </w:r>
          </w:p>
        </w:tc>
        <w:tc>
          <w:tcPr>
            <w:tcW w:w="2051" w:type="dxa"/>
            <w:tcBorders>
              <w:top w:val="nil"/>
              <w:left w:val="nil"/>
              <w:bottom w:val="nil"/>
              <w:right w:val="nil"/>
            </w:tcBorders>
            <w:hideMark/>
          </w:tcPr>
          <w:p w14:paraId="03278526"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0.07 (0.01 to 0.31)*</w:t>
            </w:r>
          </w:p>
        </w:tc>
      </w:tr>
      <w:tr w:rsidR="00BE5A44" w14:paraId="336FCB34"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0C89EA84"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21F68E84" w14:textId="77777777" w:rsidR="00BE5A44" w:rsidRPr="009A706D" w:rsidRDefault="00BE5A44" w:rsidP="005E3A8C">
            <w:pPr>
              <w:spacing w:after="0" w:line="240" w:lineRule="auto"/>
              <w:rPr>
                <w:color w:val="000000" w:themeColor="text1"/>
                <w:sz w:val="18"/>
              </w:rPr>
            </w:pPr>
          </w:p>
        </w:tc>
        <w:tc>
          <w:tcPr>
            <w:tcW w:w="2856" w:type="dxa"/>
            <w:tcBorders>
              <w:top w:val="nil"/>
              <w:left w:val="nil"/>
              <w:bottom w:val="nil"/>
              <w:right w:val="nil"/>
            </w:tcBorders>
            <w:hideMark/>
          </w:tcPr>
          <w:p w14:paraId="0AC61926" w14:textId="77777777" w:rsidR="00BE5A44" w:rsidRPr="009A706D" w:rsidRDefault="00BE5A44" w:rsidP="005E3A8C">
            <w:pPr>
              <w:spacing w:after="0" w:line="240" w:lineRule="auto"/>
              <w:rPr>
                <w:color w:val="000000" w:themeColor="text1"/>
                <w:sz w:val="18"/>
              </w:rPr>
            </w:pPr>
            <w:r w:rsidRPr="009A706D">
              <w:rPr>
                <w:color w:val="000000" w:themeColor="text1"/>
                <w:sz w:val="18"/>
              </w:rPr>
              <w:t>65-74</w:t>
            </w:r>
          </w:p>
        </w:tc>
        <w:tc>
          <w:tcPr>
            <w:tcW w:w="1985" w:type="dxa"/>
            <w:tcBorders>
              <w:top w:val="nil"/>
              <w:left w:val="nil"/>
              <w:bottom w:val="nil"/>
              <w:right w:val="nil"/>
            </w:tcBorders>
            <w:hideMark/>
          </w:tcPr>
          <w:p w14:paraId="6CBF8D4F"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0.78 (0.51 to 1.21)</w:t>
            </w:r>
          </w:p>
        </w:tc>
        <w:tc>
          <w:tcPr>
            <w:tcW w:w="1984" w:type="dxa"/>
            <w:tcBorders>
              <w:top w:val="nil"/>
              <w:left w:val="nil"/>
              <w:bottom w:val="nil"/>
              <w:right w:val="nil"/>
            </w:tcBorders>
            <w:hideMark/>
          </w:tcPr>
          <w:p w14:paraId="0B9D0CFC"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0.32 (0.18 to 0.57)</w:t>
            </w:r>
          </w:p>
        </w:tc>
        <w:tc>
          <w:tcPr>
            <w:tcW w:w="1701" w:type="dxa"/>
            <w:tcBorders>
              <w:top w:val="nil"/>
              <w:left w:val="nil"/>
              <w:bottom w:val="nil"/>
              <w:right w:val="nil"/>
            </w:tcBorders>
            <w:hideMark/>
          </w:tcPr>
          <w:p w14:paraId="2307C7A3"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 no cases in a cell</w:t>
            </w:r>
          </w:p>
        </w:tc>
        <w:tc>
          <w:tcPr>
            <w:tcW w:w="2051" w:type="dxa"/>
            <w:tcBorders>
              <w:top w:val="nil"/>
              <w:left w:val="nil"/>
              <w:bottom w:val="nil"/>
              <w:right w:val="nil"/>
            </w:tcBorders>
            <w:hideMark/>
          </w:tcPr>
          <w:p w14:paraId="7C827281"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0.43 (0.16 to 1.13)</w:t>
            </w:r>
          </w:p>
        </w:tc>
      </w:tr>
      <w:tr w:rsidR="00BE5A44" w14:paraId="48E2FEC4"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62D36BF8"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63E20061" w14:textId="77777777" w:rsidR="00BE5A44" w:rsidRPr="009A706D" w:rsidRDefault="00BE5A44" w:rsidP="005E3A8C">
            <w:pPr>
              <w:spacing w:after="0" w:line="240" w:lineRule="auto"/>
              <w:rPr>
                <w:color w:val="000000" w:themeColor="text1"/>
                <w:sz w:val="18"/>
              </w:rPr>
            </w:pPr>
          </w:p>
        </w:tc>
        <w:tc>
          <w:tcPr>
            <w:tcW w:w="2856" w:type="dxa"/>
            <w:tcBorders>
              <w:top w:val="nil"/>
              <w:left w:val="nil"/>
              <w:bottom w:val="nil"/>
              <w:right w:val="nil"/>
            </w:tcBorders>
            <w:hideMark/>
          </w:tcPr>
          <w:p w14:paraId="703569AB" w14:textId="77777777" w:rsidR="00BE5A44" w:rsidRPr="009A706D" w:rsidRDefault="00BE5A44" w:rsidP="005E3A8C">
            <w:pPr>
              <w:spacing w:after="0" w:line="240" w:lineRule="auto"/>
              <w:rPr>
                <w:color w:val="000000" w:themeColor="text1"/>
                <w:sz w:val="18"/>
              </w:rPr>
            </w:pPr>
            <w:r w:rsidRPr="009A706D">
              <w:rPr>
                <w:color w:val="000000" w:themeColor="text1"/>
                <w:sz w:val="18"/>
              </w:rPr>
              <w:t>75+</w:t>
            </w:r>
          </w:p>
        </w:tc>
        <w:tc>
          <w:tcPr>
            <w:tcW w:w="1985" w:type="dxa"/>
            <w:tcBorders>
              <w:top w:val="nil"/>
              <w:left w:val="nil"/>
              <w:bottom w:val="nil"/>
              <w:right w:val="nil"/>
            </w:tcBorders>
            <w:hideMark/>
          </w:tcPr>
          <w:p w14:paraId="4C23BC8E"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0.52 (0.33 to 0.84)*</w:t>
            </w:r>
          </w:p>
        </w:tc>
        <w:tc>
          <w:tcPr>
            <w:tcW w:w="1984" w:type="dxa"/>
            <w:tcBorders>
              <w:top w:val="nil"/>
              <w:left w:val="nil"/>
              <w:bottom w:val="nil"/>
              <w:right w:val="nil"/>
            </w:tcBorders>
            <w:hideMark/>
          </w:tcPr>
          <w:p w14:paraId="1205821C"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0.24 (0.12 to 0.46)</w:t>
            </w:r>
          </w:p>
        </w:tc>
        <w:tc>
          <w:tcPr>
            <w:tcW w:w="1701" w:type="dxa"/>
            <w:tcBorders>
              <w:top w:val="nil"/>
              <w:left w:val="nil"/>
              <w:bottom w:val="nil"/>
              <w:right w:val="nil"/>
            </w:tcBorders>
            <w:hideMark/>
          </w:tcPr>
          <w:p w14:paraId="785D1C93"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 no cases in a cell</w:t>
            </w:r>
          </w:p>
        </w:tc>
        <w:tc>
          <w:tcPr>
            <w:tcW w:w="2051" w:type="dxa"/>
            <w:tcBorders>
              <w:top w:val="nil"/>
              <w:left w:val="nil"/>
              <w:bottom w:val="nil"/>
              <w:right w:val="nil"/>
            </w:tcBorders>
            <w:hideMark/>
          </w:tcPr>
          <w:p w14:paraId="271E1A48" w14:textId="77777777" w:rsidR="00BE5A44" w:rsidRPr="009A706D" w:rsidRDefault="00BE5A44" w:rsidP="005E3A8C">
            <w:pPr>
              <w:spacing w:after="0" w:line="240" w:lineRule="auto"/>
              <w:rPr>
                <w:rFonts w:eastAsia="Times New Roman" w:cs="Times"/>
                <w:color w:val="000000" w:themeColor="text1"/>
                <w:sz w:val="18"/>
                <w:szCs w:val="18"/>
              </w:rPr>
            </w:pPr>
            <w:r w:rsidRPr="009A706D">
              <w:rPr>
                <w:rFonts w:eastAsia="Times New Roman" w:cs="Times"/>
                <w:color w:val="000000" w:themeColor="text1"/>
                <w:sz w:val="18"/>
                <w:szCs w:val="18"/>
              </w:rPr>
              <w:t>0.22 (0.06 to 0.79)*</w:t>
            </w:r>
          </w:p>
        </w:tc>
      </w:tr>
      <w:tr w:rsidR="00BE5A44" w14:paraId="65937C77" w14:textId="77777777" w:rsidTr="005E3A8C">
        <w:trPr>
          <w:trHeight w:val="70"/>
        </w:trPr>
        <w:tc>
          <w:tcPr>
            <w:tcW w:w="0" w:type="auto"/>
            <w:vMerge/>
            <w:tcBorders>
              <w:top w:val="single" w:sz="12" w:space="0" w:color="auto"/>
              <w:left w:val="nil"/>
              <w:bottom w:val="single" w:sz="4" w:space="0" w:color="auto"/>
              <w:right w:val="nil"/>
            </w:tcBorders>
            <w:vAlign w:val="center"/>
            <w:hideMark/>
          </w:tcPr>
          <w:p w14:paraId="47549166" w14:textId="77777777" w:rsidR="00BE5A44" w:rsidRDefault="00BE5A44" w:rsidP="005E3A8C">
            <w:pPr>
              <w:spacing w:after="0" w:line="240" w:lineRule="auto"/>
              <w:rPr>
                <w:sz w:val="18"/>
              </w:rPr>
            </w:pPr>
          </w:p>
        </w:tc>
        <w:tc>
          <w:tcPr>
            <w:tcW w:w="0" w:type="auto"/>
            <w:vMerge w:val="restart"/>
            <w:tcBorders>
              <w:top w:val="single" w:sz="4" w:space="0" w:color="auto"/>
              <w:left w:val="nil"/>
              <w:bottom w:val="nil"/>
              <w:right w:val="nil"/>
            </w:tcBorders>
            <w:hideMark/>
          </w:tcPr>
          <w:p w14:paraId="125ADAFC" w14:textId="77777777" w:rsidR="00BE5A44" w:rsidRDefault="00BE5A44" w:rsidP="005E3A8C">
            <w:pPr>
              <w:spacing w:after="0" w:line="240" w:lineRule="auto"/>
              <w:rPr>
                <w:sz w:val="18"/>
              </w:rPr>
            </w:pPr>
            <w:r>
              <w:rPr>
                <w:sz w:val="18"/>
                <w:szCs w:val="18"/>
              </w:rPr>
              <w:t>Dependent children</w:t>
            </w:r>
          </w:p>
        </w:tc>
        <w:tc>
          <w:tcPr>
            <w:tcW w:w="2856" w:type="dxa"/>
            <w:tcBorders>
              <w:top w:val="single" w:sz="4" w:space="0" w:color="auto"/>
              <w:left w:val="nil"/>
              <w:bottom w:val="nil"/>
              <w:right w:val="nil"/>
            </w:tcBorders>
            <w:hideMark/>
          </w:tcPr>
          <w:p w14:paraId="428FC2B9" w14:textId="77777777" w:rsidR="00BE5A44" w:rsidRDefault="00BE5A44" w:rsidP="005E3A8C">
            <w:pPr>
              <w:spacing w:after="0" w:line="240" w:lineRule="auto"/>
              <w:rPr>
                <w:sz w:val="18"/>
              </w:rPr>
            </w:pPr>
            <w:r>
              <w:rPr>
                <w:sz w:val="18"/>
                <w:szCs w:val="18"/>
              </w:rPr>
              <w:t>No</w:t>
            </w:r>
          </w:p>
        </w:tc>
        <w:tc>
          <w:tcPr>
            <w:tcW w:w="1985" w:type="dxa"/>
            <w:tcBorders>
              <w:top w:val="single" w:sz="4" w:space="0" w:color="auto"/>
              <w:left w:val="nil"/>
              <w:bottom w:val="nil"/>
              <w:right w:val="nil"/>
            </w:tcBorders>
            <w:hideMark/>
          </w:tcPr>
          <w:p w14:paraId="202E107F"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223B9116"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6239AE44"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59DF4629" w14:textId="77777777" w:rsidR="00BE5A44" w:rsidRDefault="00BE5A44" w:rsidP="005E3A8C">
            <w:pPr>
              <w:spacing w:after="0" w:line="240" w:lineRule="auto"/>
              <w:rPr>
                <w:sz w:val="18"/>
              </w:rPr>
            </w:pPr>
            <w:r>
              <w:rPr>
                <w:sz w:val="18"/>
              </w:rPr>
              <w:t>Reference</w:t>
            </w:r>
          </w:p>
        </w:tc>
      </w:tr>
      <w:tr w:rsidR="00BE5A44" w14:paraId="41114834" w14:textId="77777777" w:rsidTr="005E3A8C">
        <w:trPr>
          <w:trHeight w:val="20"/>
        </w:trPr>
        <w:tc>
          <w:tcPr>
            <w:tcW w:w="0" w:type="auto"/>
            <w:vMerge/>
            <w:tcBorders>
              <w:top w:val="single" w:sz="12" w:space="0" w:color="auto"/>
              <w:left w:val="nil"/>
              <w:bottom w:val="single" w:sz="4" w:space="0" w:color="auto"/>
              <w:right w:val="nil"/>
            </w:tcBorders>
            <w:vAlign w:val="center"/>
            <w:hideMark/>
          </w:tcPr>
          <w:p w14:paraId="661ADECF" w14:textId="77777777" w:rsidR="00BE5A44" w:rsidRDefault="00BE5A44" w:rsidP="005E3A8C">
            <w:pPr>
              <w:spacing w:after="0" w:line="240" w:lineRule="auto"/>
              <w:rPr>
                <w:sz w:val="18"/>
              </w:rPr>
            </w:pPr>
          </w:p>
        </w:tc>
        <w:tc>
          <w:tcPr>
            <w:tcW w:w="0" w:type="auto"/>
            <w:vMerge/>
            <w:tcBorders>
              <w:top w:val="single" w:sz="4" w:space="0" w:color="auto"/>
              <w:left w:val="nil"/>
              <w:bottom w:val="nil"/>
              <w:right w:val="nil"/>
            </w:tcBorders>
            <w:vAlign w:val="center"/>
            <w:hideMark/>
          </w:tcPr>
          <w:p w14:paraId="2FE29586" w14:textId="77777777" w:rsidR="00BE5A44" w:rsidRDefault="00BE5A44" w:rsidP="005E3A8C">
            <w:pPr>
              <w:spacing w:after="0" w:line="240" w:lineRule="auto"/>
              <w:rPr>
                <w:sz w:val="18"/>
              </w:rPr>
            </w:pPr>
          </w:p>
        </w:tc>
        <w:tc>
          <w:tcPr>
            <w:tcW w:w="2856" w:type="dxa"/>
            <w:tcBorders>
              <w:top w:val="nil"/>
              <w:left w:val="nil"/>
              <w:bottom w:val="nil"/>
              <w:right w:val="nil"/>
            </w:tcBorders>
            <w:hideMark/>
          </w:tcPr>
          <w:p w14:paraId="228F05DB" w14:textId="77777777" w:rsidR="00BE5A44" w:rsidRDefault="00BE5A44" w:rsidP="005E3A8C">
            <w:pPr>
              <w:spacing w:after="0" w:line="240" w:lineRule="auto"/>
              <w:rPr>
                <w:sz w:val="18"/>
              </w:rPr>
            </w:pPr>
            <w:r>
              <w:rPr>
                <w:sz w:val="18"/>
              </w:rPr>
              <w:t>Yes</w:t>
            </w:r>
          </w:p>
        </w:tc>
        <w:tc>
          <w:tcPr>
            <w:tcW w:w="1985" w:type="dxa"/>
            <w:tcBorders>
              <w:top w:val="nil"/>
              <w:left w:val="nil"/>
              <w:bottom w:val="nil"/>
              <w:right w:val="nil"/>
            </w:tcBorders>
            <w:hideMark/>
          </w:tcPr>
          <w:p w14:paraId="63E063AB" w14:textId="77777777" w:rsidR="00BE5A44" w:rsidRDefault="00BE5A44" w:rsidP="005E3A8C">
            <w:pPr>
              <w:spacing w:after="0" w:line="240" w:lineRule="auto"/>
              <w:rPr>
                <w:sz w:val="18"/>
              </w:rPr>
            </w:pPr>
            <w:r>
              <w:rPr>
                <w:sz w:val="18"/>
              </w:rPr>
              <w:t>0.82 (0.66 to 1.02)</w:t>
            </w:r>
          </w:p>
        </w:tc>
        <w:tc>
          <w:tcPr>
            <w:tcW w:w="1984" w:type="dxa"/>
            <w:tcBorders>
              <w:top w:val="nil"/>
              <w:left w:val="nil"/>
              <w:bottom w:val="nil"/>
              <w:right w:val="nil"/>
            </w:tcBorders>
            <w:hideMark/>
          </w:tcPr>
          <w:p w14:paraId="325C9168" w14:textId="77777777" w:rsidR="00BE5A44" w:rsidRDefault="00BE5A44" w:rsidP="005E3A8C">
            <w:pPr>
              <w:spacing w:after="0" w:line="240" w:lineRule="auto"/>
              <w:rPr>
                <w:sz w:val="18"/>
              </w:rPr>
            </w:pPr>
            <w:r>
              <w:rPr>
                <w:sz w:val="18"/>
              </w:rPr>
              <w:t>1.61 (1.22 to 2.11)*</w:t>
            </w:r>
          </w:p>
        </w:tc>
        <w:tc>
          <w:tcPr>
            <w:tcW w:w="1701" w:type="dxa"/>
            <w:tcBorders>
              <w:top w:val="nil"/>
              <w:left w:val="nil"/>
              <w:bottom w:val="nil"/>
              <w:right w:val="nil"/>
            </w:tcBorders>
            <w:hideMark/>
          </w:tcPr>
          <w:p w14:paraId="2443070B" w14:textId="77777777" w:rsidR="00BE5A44" w:rsidRDefault="00BE5A44" w:rsidP="005E3A8C">
            <w:pPr>
              <w:spacing w:after="0" w:line="240" w:lineRule="auto"/>
              <w:rPr>
                <w:sz w:val="18"/>
              </w:rPr>
            </w:pPr>
            <w:r>
              <w:rPr>
                <w:sz w:val="18"/>
              </w:rPr>
              <w:t>0.82 (0.46 to 1.45)</w:t>
            </w:r>
          </w:p>
        </w:tc>
        <w:tc>
          <w:tcPr>
            <w:tcW w:w="2051" w:type="dxa"/>
            <w:tcBorders>
              <w:top w:val="nil"/>
              <w:left w:val="nil"/>
              <w:bottom w:val="nil"/>
              <w:right w:val="nil"/>
            </w:tcBorders>
            <w:hideMark/>
          </w:tcPr>
          <w:p w14:paraId="3A71F6AE" w14:textId="77777777" w:rsidR="00BE5A44" w:rsidRDefault="00BE5A44" w:rsidP="005E3A8C">
            <w:pPr>
              <w:spacing w:after="0" w:line="240" w:lineRule="auto"/>
              <w:rPr>
                <w:sz w:val="18"/>
              </w:rPr>
            </w:pPr>
            <w:r>
              <w:rPr>
                <w:sz w:val="18"/>
              </w:rPr>
              <w:t>1.79 (1.06 to 2.99)*</w:t>
            </w:r>
          </w:p>
        </w:tc>
      </w:tr>
      <w:tr w:rsidR="00BE5A44" w14:paraId="7DF8D347" w14:textId="77777777" w:rsidTr="005E3A8C">
        <w:trPr>
          <w:trHeight w:val="187"/>
        </w:trPr>
        <w:tc>
          <w:tcPr>
            <w:tcW w:w="0" w:type="auto"/>
            <w:vMerge/>
            <w:tcBorders>
              <w:top w:val="single" w:sz="12" w:space="0" w:color="auto"/>
              <w:left w:val="nil"/>
              <w:bottom w:val="single" w:sz="4" w:space="0" w:color="auto"/>
              <w:right w:val="nil"/>
            </w:tcBorders>
            <w:vAlign w:val="center"/>
            <w:hideMark/>
          </w:tcPr>
          <w:p w14:paraId="4F0BC84F"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12105B3D" w14:textId="77777777" w:rsidR="00BE5A44" w:rsidRDefault="00BE5A44" w:rsidP="005E3A8C">
            <w:pPr>
              <w:spacing w:after="0" w:line="240" w:lineRule="auto"/>
              <w:rPr>
                <w:color w:val="FF0000"/>
                <w:sz w:val="18"/>
              </w:rPr>
            </w:pPr>
            <w:r>
              <w:rPr>
                <w:sz w:val="18"/>
              </w:rPr>
              <w:t>Chronic illness (defined by NHS as vulnerable) - self</w:t>
            </w:r>
          </w:p>
        </w:tc>
        <w:tc>
          <w:tcPr>
            <w:tcW w:w="2856" w:type="dxa"/>
            <w:tcBorders>
              <w:top w:val="single" w:sz="4" w:space="0" w:color="auto"/>
              <w:left w:val="nil"/>
              <w:bottom w:val="nil"/>
              <w:right w:val="nil"/>
            </w:tcBorders>
            <w:hideMark/>
          </w:tcPr>
          <w:p w14:paraId="1888F327" w14:textId="77777777" w:rsidR="00BE5A44" w:rsidRDefault="00BE5A44" w:rsidP="005E3A8C">
            <w:pPr>
              <w:spacing w:after="0" w:line="240" w:lineRule="auto"/>
              <w:rPr>
                <w:color w:val="FF0000"/>
                <w:sz w:val="18"/>
              </w:rPr>
            </w:pPr>
            <w:r>
              <w:rPr>
                <w:sz w:val="18"/>
              </w:rPr>
              <w:t>None</w:t>
            </w:r>
          </w:p>
        </w:tc>
        <w:tc>
          <w:tcPr>
            <w:tcW w:w="1985" w:type="dxa"/>
            <w:tcBorders>
              <w:top w:val="single" w:sz="4" w:space="0" w:color="auto"/>
              <w:left w:val="nil"/>
              <w:bottom w:val="nil"/>
              <w:right w:val="nil"/>
            </w:tcBorders>
            <w:hideMark/>
          </w:tcPr>
          <w:p w14:paraId="58E4D74A"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5E240D98"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282A66A6"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7DB0AD64" w14:textId="77777777" w:rsidR="00BE5A44" w:rsidRDefault="00BE5A44" w:rsidP="005E3A8C">
            <w:pPr>
              <w:spacing w:after="0" w:line="240" w:lineRule="auto"/>
              <w:rPr>
                <w:sz w:val="18"/>
              </w:rPr>
            </w:pPr>
            <w:r>
              <w:rPr>
                <w:sz w:val="18"/>
              </w:rPr>
              <w:t>Reference</w:t>
            </w:r>
          </w:p>
        </w:tc>
      </w:tr>
      <w:tr w:rsidR="00BE5A44" w14:paraId="138132E0" w14:textId="77777777" w:rsidTr="005E3A8C">
        <w:trPr>
          <w:trHeight w:val="70"/>
        </w:trPr>
        <w:tc>
          <w:tcPr>
            <w:tcW w:w="0" w:type="auto"/>
            <w:vMerge/>
            <w:tcBorders>
              <w:top w:val="single" w:sz="12" w:space="0" w:color="auto"/>
              <w:left w:val="nil"/>
              <w:bottom w:val="single" w:sz="4" w:space="0" w:color="auto"/>
              <w:right w:val="nil"/>
            </w:tcBorders>
            <w:vAlign w:val="center"/>
            <w:hideMark/>
          </w:tcPr>
          <w:p w14:paraId="4DCE5808"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001413E3" w14:textId="77777777" w:rsidR="00BE5A44" w:rsidRDefault="00BE5A44" w:rsidP="005E3A8C">
            <w:pPr>
              <w:spacing w:after="0" w:line="240" w:lineRule="auto"/>
              <w:rPr>
                <w:color w:val="FF0000"/>
                <w:sz w:val="18"/>
              </w:rPr>
            </w:pPr>
          </w:p>
        </w:tc>
        <w:tc>
          <w:tcPr>
            <w:tcW w:w="2856" w:type="dxa"/>
            <w:tcBorders>
              <w:top w:val="nil"/>
              <w:left w:val="nil"/>
              <w:bottom w:val="single" w:sz="4" w:space="0" w:color="auto"/>
              <w:right w:val="nil"/>
            </w:tcBorders>
            <w:hideMark/>
          </w:tcPr>
          <w:p w14:paraId="1D4B8AF0" w14:textId="77777777" w:rsidR="00BE5A44" w:rsidRDefault="00BE5A44" w:rsidP="005E3A8C">
            <w:pPr>
              <w:spacing w:after="0" w:line="240" w:lineRule="auto"/>
              <w:rPr>
                <w:sz w:val="18"/>
              </w:rPr>
            </w:pPr>
            <w:r>
              <w:rPr>
                <w:sz w:val="18"/>
              </w:rPr>
              <w:t xml:space="preserve">Present </w:t>
            </w:r>
          </w:p>
        </w:tc>
        <w:tc>
          <w:tcPr>
            <w:tcW w:w="1985" w:type="dxa"/>
            <w:tcBorders>
              <w:top w:val="nil"/>
              <w:left w:val="nil"/>
              <w:bottom w:val="single" w:sz="4" w:space="0" w:color="auto"/>
              <w:right w:val="nil"/>
            </w:tcBorders>
            <w:hideMark/>
          </w:tcPr>
          <w:p w14:paraId="761DD7C0" w14:textId="77777777" w:rsidR="00BE5A44" w:rsidRDefault="00BE5A44" w:rsidP="005E3A8C">
            <w:pPr>
              <w:spacing w:after="0" w:line="240" w:lineRule="auto"/>
              <w:rPr>
                <w:sz w:val="18"/>
              </w:rPr>
            </w:pPr>
            <w:r>
              <w:rPr>
                <w:sz w:val="18"/>
              </w:rPr>
              <w:t>0.74 (0.59 to 0.92)*</w:t>
            </w:r>
          </w:p>
        </w:tc>
        <w:tc>
          <w:tcPr>
            <w:tcW w:w="1984" w:type="dxa"/>
            <w:tcBorders>
              <w:top w:val="nil"/>
              <w:left w:val="nil"/>
              <w:bottom w:val="single" w:sz="4" w:space="0" w:color="auto"/>
              <w:right w:val="nil"/>
            </w:tcBorders>
            <w:hideMark/>
          </w:tcPr>
          <w:p w14:paraId="71EAE1EC" w14:textId="77777777" w:rsidR="00BE5A44" w:rsidRDefault="00BE5A44" w:rsidP="005E3A8C">
            <w:pPr>
              <w:spacing w:after="0" w:line="240" w:lineRule="auto"/>
              <w:rPr>
                <w:sz w:val="18"/>
              </w:rPr>
            </w:pPr>
            <w:r>
              <w:rPr>
                <w:sz w:val="18"/>
              </w:rPr>
              <w:t>0.77 (0.56 to 1.06)</w:t>
            </w:r>
          </w:p>
        </w:tc>
        <w:tc>
          <w:tcPr>
            <w:tcW w:w="1701" w:type="dxa"/>
            <w:tcBorders>
              <w:top w:val="nil"/>
              <w:left w:val="nil"/>
              <w:bottom w:val="single" w:sz="4" w:space="0" w:color="auto"/>
              <w:right w:val="nil"/>
            </w:tcBorders>
            <w:hideMark/>
          </w:tcPr>
          <w:p w14:paraId="5AEA20A1" w14:textId="77777777" w:rsidR="00BE5A44" w:rsidRDefault="00BE5A44" w:rsidP="005E3A8C">
            <w:pPr>
              <w:spacing w:after="0" w:line="240" w:lineRule="auto"/>
              <w:rPr>
                <w:sz w:val="18"/>
              </w:rPr>
            </w:pPr>
            <w:r>
              <w:rPr>
                <w:sz w:val="18"/>
              </w:rPr>
              <w:t>0.95 (0.39 to 2.29)</w:t>
            </w:r>
          </w:p>
        </w:tc>
        <w:tc>
          <w:tcPr>
            <w:tcW w:w="2051" w:type="dxa"/>
            <w:tcBorders>
              <w:top w:val="nil"/>
              <w:left w:val="nil"/>
              <w:bottom w:val="single" w:sz="4" w:space="0" w:color="auto"/>
              <w:right w:val="nil"/>
            </w:tcBorders>
            <w:hideMark/>
          </w:tcPr>
          <w:p w14:paraId="62F2B11B" w14:textId="77777777" w:rsidR="00BE5A44" w:rsidRDefault="00BE5A44" w:rsidP="005E3A8C">
            <w:pPr>
              <w:spacing w:after="0" w:line="240" w:lineRule="auto"/>
              <w:rPr>
                <w:sz w:val="18"/>
              </w:rPr>
            </w:pPr>
            <w:r>
              <w:rPr>
                <w:sz w:val="18"/>
              </w:rPr>
              <w:t>1.23 (0.72 to 2.11)</w:t>
            </w:r>
          </w:p>
        </w:tc>
      </w:tr>
      <w:tr w:rsidR="00BE5A44" w14:paraId="33D46038" w14:textId="77777777" w:rsidTr="005E3A8C">
        <w:trPr>
          <w:trHeight w:val="93"/>
        </w:trPr>
        <w:tc>
          <w:tcPr>
            <w:tcW w:w="0" w:type="auto"/>
            <w:vMerge/>
            <w:tcBorders>
              <w:top w:val="single" w:sz="12" w:space="0" w:color="auto"/>
              <w:left w:val="nil"/>
              <w:bottom w:val="single" w:sz="4" w:space="0" w:color="auto"/>
              <w:right w:val="nil"/>
            </w:tcBorders>
            <w:vAlign w:val="center"/>
            <w:hideMark/>
          </w:tcPr>
          <w:p w14:paraId="5E897B96"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5B571CE1" w14:textId="77777777" w:rsidR="00BE5A44" w:rsidRDefault="00BE5A44" w:rsidP="005E3A8C">
            <w:pPr>
              <w:spacing w:after="0" w:line="240" w:lineRule="auto"/>
              <w:rPr>
                <w:sz w:val="18"/>
              </w:rPr>
            </w:pPr>
            <w:r>
              <w:rPr>
                <w:sz w:val="18"/>
              </w:rPr>
              <w:t>Any chronic illness – other household member</w:t>
            </w:r>
          </w:p>
        </w:tc>
        <w:tc>
          <w:tcPr>
            <w:tcW w:w="2856" w:type="dxa"/>
            <w:tcBorders>
              <w:top w:val="single" w:sz="4" w:space="0" w:color="auto"/>
              <w:left w:val="nil"/>
              <w:bottom w:val="nil"/>
              <w:right w:val="nil"/>
            </w:tcBorders>
            <w:hideMark/>
          </w:tcPr>
          <w:p w14:paraId="37FBD974" w14:textId="77777777" w:rsidR="00BE5A44" w:rsidRDefault="00BE5A44" w:rsidP="005E3A8C">
            <w:pPr>
              <w:spacing w:after="0" w:line="240" w:lineRule="auto"/>
              <w:rPr>
                <w:sz w:val="18"/>
              </w:rPr>
            </w:pPr>
            <w:r>
              <w:rPr>
                <w:sz w:val="18"/>
              </w:rPr>
              <w:t>None</w:t>
            </w:r>
          </w:p>
        </w:tc>
        <w:tc>
          <w:tcPr>
            <w:tcW w:w="1985" w:type="dxa"/>
            <w:tcBorders>
              <w:top w:val="single" w:sz="4" w:space="0" w:color="auto"/>
              <w:left w:val="nil"/>
              <w:bottom w:val="nil"/>
              <w:right w:val="nil"/>
            </w:tcBorders>
            <w:hideMark/>
          </w:tcPr>
          <w:p w14:paraId="53D1F854"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39308968"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16141AEC"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1C5995CB" w14:textId="77777777" w:rsidR="00BE5A44" w:rsidRDefault="00BE5A44" w:rsidP="005E3A8C">
            <w:pPr>
              <w:spacing w:after="0" w:line="240" w:lineRule="auto"/>
              <w:rPr>
                <w:sz w:val="18"/>
              </w:rPr>
            </w:pPr>
            <w:r>
              <w:rPr>
                <w:sz w:val="18"/>
              </w:rPr>
              <w:t>Reference</w:t>
            </w:r>
          </w:p>
        </w:tc>
      </w:tr>
      <w:tr w:rsidR="00BE5A44" w14:paraId="7A7B8BF1" w14:textId="77777777" w:rsidTr="005E3A8C">
        <w:trPr>
          <w:trHeight w:val="167"/>
        </w:trPr>
        <w:tc>
          <w:tcPr>
            <w:tcW w:w="0" w:type="auto"/>
            <w:vMerge/>
            <w:tcBorders>
              <w:top w:val="single" w:sz="12" w:space="0" w:color="auto"/>
              <w:left w:val="nil"/>
              <w:bottom w:val="single" w:sz="4" w:space="0" w:color="auto"/>
              <w:right w:val="nil"/>
            </w:tcBorders>
            <w:vAlign w:val="center"/>
            <w:hideMark/>
          </w:tcPr>
          <w:p w14:paraId="757C0527"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31DEADF1" w14:textId="77777777" w:rsidR="00BE5A44" w:rsidRDefault="00BE5A44" w:rsidP="005E3A8C">
            <w:pPr>
              <w:spacing w:after="0" w:line="240" w:lineRule="auto"/>
              <w:rPr>
                <w:sz w:val="18"/>
              </w:rPr>
            </w:pPr>
          </w:p>
        </w:tc>
        <w:tc>
          <w:tcPr>
            <w:tcW w:w="2856" w:type="dxa"/>
            <w:tcBorders>
              <w:top w:val="nil"/>
              <w:left w:val="nil"/>
              <w:bottom w:val="single" w:sz="4" w:space="0" w:color="auto"/>
              <w:right w:val="nil"/>
            </w:tcBorders>
            <w:hideMark/>
          </w:tcPr>
          <w:p w14:paraId="46C3CB4B" w14:textId="77777777" w:rsidR="00BE5A44" w:rsidRDefault="00BE5A44" w:rsidP="005E3A8C">
            <w:pPr>
              <w:spacing w:after="0" w:line="240" w:lineRule="auto"/>
              <w:rPr>
                <w:sz w:val="18"/>
              </w:rPr>
            </w:pPr>
            <w:r>
              <w:rPr>
                <w:sz w:val="18"/>
              </w:rPr>
              <w:t>Present</w:t>
            </w:r>
          </w:p>
        </w:tc>
        <w:tc>
          <w:tcPr>
            <w:tcW w:w="1985" w:type="dxa"/>
            <w:tcBorders>
              <w:top w:val="nil"/>
              <w:left w:val="nil"/>
              <w:bottom w:val="single" w:sz="4" w:space="0" w:color="auto"/>
              <w:right w:val="nil"/>
            </w:tcBorders>
            <w:hideMark/>
          </w:tcPr>
          <w:p w14:paraId="605AE6CB" w14:textId="77777777" w:rsidR="00BE5A44" w:rsidRDefault="00BE5A44" w:rsidP="005E3A8C">
            <w:pPr>
              <w:spacing w:after="0" w:line="240" w:lineRule="auto"/>
              <w:rPr>
                <w:sz w:val="18"/>
              </w:rPr>
            </w:pPr>
            <w:r>
              <w:rPr>
                <w:sz w:val="18"/>
              </w:rPr>
              <w:t>1.14 (0.9 to 1.45)</w:t>
            </w:r>
          </w:p>
        </w:tc>
        <w:tc>
          <w:tcPr>
            <w:tcW w:w="1984" w:type="dxa"/>
            <w:tcBorders>
              <w:top w:val="nil"/>
              <w:left w:val="nil"/>
              <w:bottom w:val="single" w:sz="4" w:space="0" w:color="auto"/>
              <w:right w:val="nil"/>
            </w:tcBorders>
            <w:hideMark/>
          </w:tcPr>
          <w:p w14:paraId="1A54DED4" w14:textId="77777777" w:rsidR="00BE5A44" w:rsidRDefault="00BE5A44" w:rsidP="005E3A8C">
            <w:pPr>
              <w:spacing w:after="0" w:line="240" w:lineRule="auto"/>
              <w:rPr>
                <w:sz w:val="18"/>
              </w:rPr>
            </w:pPr>
            <w:r>
              <w:rPr>
                <w:sz w:val="18"/>
              </w:rPr>
              <w:t>1.12 (0.81 to 1.55)</w:t>
            </w:r>
          </w:p>
        </w:tc>
        <w:tc>
          <w:tcPr>
            <w:tcW w:w="1701" w:type="dxa"/>
            <w:tcBorders>
              <w:top w:val="nil"/>
              <w:left w:val="nil"/>
              <w:bottom w:val="single" w:sz="4" w:space="0" w:color="auto"/>
              <w:right w:val="nil"/>
            </w:tcBorders>
            <w:hideMark/>
          </w:tcPr>
          <w:p w14:paraId="44F51FC4" w14:textId="77777777" w:rsidR="00BE5A44" w:rsidRDefault="00BE5A44" w:rsidP="005E3A8C">
            <w:pPr>
              <w:spacing w:after="0" w:line="240" w:lineRule="auto"/>
              <w:rPr>
                <w:sz w:val="18"/>
              </w:rPr>
            </w:pPr>
            <w:r>
              <w:rPr>
                <w:sz w:val="18"/>
              </w:rPr>
              <w:t>0.65 (0.27 to 1.56)</w:t>
            </w:r>
          </w:p>
        </w:tc>
        <w:tc>
          <w:tcPr>
            <w:tcW w:w="2051" w:type="dxa"/>
            <w:tcBorders>
              <w:top w:val="nil"/>
              <w:left w:val="nil"/>
              <w:bottom w:val="single" w:sz="4" w:space="0" w:color="auto"/>
              <w:right w:val="nil"/>
            </w:tcBorders>
            <w:hideMark/>
          </w:tcPr>
          <w:p w14:paraId="0AD07740" w14:textId="77777777" w:rsidR="00BE5A44" w:rsidRDefault="00BE5A44" w:rsidP="005E3A8C">
            <w:pPr>
              <w:spacing w:after="0" w:line="240" w:lineRule="auto"/>
              <w:rPr>
                <w:sz w:val="18"/>
              </w:rPr>
            </w:pPr>
            <w:r>
              <w:rPr>
                <w:sz w:val="18"/>
              </w:rPr>
              <w:t>1.58 (0.89 to 2.78)</w:t>
            </w:r>
          </w:p>
        </w:tc>
      </w:tr>
      <w:tr w:rsidR="00BE5A44" w14:paraId="5BD25E2F" w14:textId="77777777" w:rsidTr="005E3A8C">
        <w:trPr>
          <w:trHeight w:val="119"/>
        </w:trPr>
        <w:tc>
          <w:tcPr>
            <w:tcW w:w="0" w:type="auto"/>
            <w:vMerge/>
            <w:tcBorders>
              <w:top w:val="single" w:sz="12" w:space="0" w:color="auto"/>
              <w:left w:val="nil"/>
              <w:bottom w:val="single" w:sz="4" w:space="0" w:color="auto"/>
              <w:right w:val="nil"/>
            </w:tcBorders>
            <w:vAlign w:val="center"/>
            <w:hideMark/>
          </w:tcPr>
          <w:p w14:paraId="70B49781"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5B2532E9" w14:textId="77777777" w:rsidR="00BE5A44" w:rsidRDefault="00BE5A44" w:rsidP="005E3A8C">
            <w:pPr>
              <w:spacing w:after="0" w:line="240" w:lineRule="auto"/>
              <w:rPr>
                <w:sz w:val="18"/>
              </w:rPr>
            </w:pPr>
            <w:r>
              <w:rPr>
                <w:sz w:val="18"/>
              </w:rPr>
              <w:t>Employment status</w:t>
            </w:r>
          </w:p>
        </w:tc>
        <w:tc>
          <w:tcPr>
            <w:tcW w:w="2856" w:type="dxa"/>
            <w:tcBorders>
              <w:top w:val="single" w:sz="4" w:space="0" w:color="auto"/>
              <w:left w:val="nil"/>
              <w:bottom w:val="nil"/>
              <w:right w:val="nil"/>
            </w:tcBorders>
            <w:hideMark/>
          </w:tcPr>
          <w:p w14:paraId="3D1F0902" w14:textId="77777777" w:rsidR="00BE5A44" w:rsidRDefault="00BE5A44" w:rsidP="005E3A8C">
            <w:pPr>
              <w:spacing w:after="0" w:line="240" w:lineRule="auto"/>
              <w:rPr>
                <w:sz w:val="18"/>
              </w:rPr>
            </w:pPr>
            <w:r>
              <w:rPr>
                <w:sz w:val="18"/>
              </w:rPr>
              <w:t xml:space="preserve">Not working </w:t>
            </w:r>
          </w:p>
        </w:tc>
        <w:tc>
          <w:tcPr>
            <w:tcW w:w="1985" w:type="dxa"/>
            <w:tcBorders>
              <w:top w:val="single" w:sz="4" w:space="0" w:color="auto"/>
              <w:left w:val="nil"/>
              <w:bottom w:val="nil"/>
              <w:right w:val="nil"/>
            </w:tcBorders>
            <w:hideMark/>
          </w:tcPr>
          <w:p w14:paraId="6AA96EEF"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0111C588"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21D3ABCE"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5072B68F" w14:textId="77777777" w:rsidR="00BE5A44" w:rsidRDefault="00BE5A44" w:rsidP="005E3A8C">
            <w:pPr>
              <w:spacing w:after="0" w:line="240" w:lineRule="auto"/>
              <w:rPr>
                <w:sz w:val="18"/>
              </w:rPr>
            </w:pPr>
            <w:r>
              <w:rPr>
                <w:sz w:val="18"/>
              </w:rPr>
              <w:t>Reference</w:t>
            </w:r>
          </w:p>
        </w:tc>
      </w:tr>
      <w:tr w:rsidR="00BE5A44" w14:paraId="7E1C4585" w14:textId="77777777" w:rsidTr="005E3A8C">
        <w:trPr>
          <w:trHeight w:val="159"/>
        </w:trPr>
        <w:tc>
          <w:tcPr>
            <w:tcW w:w="0" w:type="auto"/>
            <w:vMerge/>
            <w:tcBorders>
              <w:top w:val="single" w:sz="12" w:space="0" w:color="auto"/>
              <w:left w:val="nil"/>
              <w:bottom w:val="single" w:sz="4" w:space="0" w:color="auto"/>
              <w:right w:val="nil"/>
            </w:tcBorders>
            <w:vAlign w:val="center"/>
            <w:hideMark/>
          </w:tcPr>
          <w:p w14:paraId="30740525"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6DF62EA3" w14:textId="77777777" w:rsidR="00BE5A44" w:rsidRDefault="00BE5A44" w:rsidP="005E3A8C">
            <w:pPr>
              <w:spacing w:after="0" w:line="240" w:lineRule="auto"/>
              <w:rPr>
                <w:sz w:val="18"/>
              </w:rPr>
            </w:pPr>
          </w:p>
        </w:tc>
        <w:tc>
          <w:tcPr>
            <w:tcW w:w="2856" w:type="dxa"/>
            <w:tcBorders>
              <w:top w:val="nil"/>
              <w:left w:val="nil"/>
              <w:bottom w:val="single" w:sz="4" w:space="0" w:color="auto"/>
              <w:right w:val="nil"/>
            </w:tcBorders>
            <w:hideMark/>
          </w:tcPr>
          <w:p w14:paraId="18680706" w14:textId="77777777" w:rsidR="00BE5A44" w:rsidRDefault="00BE5A44" w:rsidP="005E3A8C">
            <w:pPr>
              <w:spacing w:after="0" w:line="240" w:lineRule="auto"/>
              <w:rPr>
                <w:sz w:val="18"/>
              </w:rPr>
            </w:pPr>
            <w:r>
              <w:rPr>
                <w:sz w:val="18"/>
              </w:rPr>
              <w:t>Working</w:t>
            </w:r>
          </w:p>
        </w:tc>
        <w:tc>
          <w:tcPr>
            <w:tcW w:w="1985" w:type="dxa"/>
            <w:tcBorders>
              <w:top w:val="nil"/>
              <w:left w:val="nil"/>
              <w:bottom w:val="single" w:sz="4" w:space="0" w:color="auto"/>
              <w:right w:val="nil"/>
            </w:tcBorders>
            <w:hideMark/>
          </w:tcPr>
          <w:p w14:paraId="69E2228E" w14:textId="77777777" w:rsidR="00BE5A44" w:rsidRDefault="00BE5A44" w:rsidP="005E3A8C">
            <w:pPr>
              <w:spacing w:after="0" w:line="240" w:lineRule="auto"/>
              <w:rPr>
                <w:sz w:val="18"/>
              </w:rPr>
            </w:pPr>
            <w:r>
              <w:rPr>
                <w:sz w:val="18"/>
              </w:rPr>
              <w:t>1.28 (1.03 to 1.6)*</w:t>
            </w:r>
          </w:p>
        </w:tc>
        <w:tc>
          <w:tcPr>
            <w:tcW w:w="1984" w:type="dxa"/>
            <w:tcBorders>
              <w:top w:val="nil"/>
              <w:left w:val="nil"/>
              <w:bottom w:val="single" w:sz="4" w:space="0" w:color="auto"/>
              <w:right w:val="nil"/>
            </w:tcBorders>
            <w:hideMark/>
          </w:tcPr>
          <w:p w14:paraId="23549654" w14:textId="77777777" w:rsidR="00BE5A44" w:rsidRDefault="00BE5A44" w:rsidP="005E3A8C">
            <w:pPr>
              <w:spacing w:after="0" w:line="240" w:lineRule="auto"/>
              <w:rPr>
                <w:sz w:val="18"/>
              </w:rPr>
            </w:pPr>
            <w:r>
              <w:rPr>
                <w:sz w:val="18"/>
              </w:rPr>
              <w:t>1.31 (0.96 to 1.77)</w:t>
            </w:r>
          </w:p>
        </w:tc>
        <w:tc>
          <w:tcPr>
            <w:tcW w:w="1701" w:type="dxa"/>
            <w:tcBorders>
              <w:top w:val="nil"/>
              <w:left w:val="nil"/>
              <w:bottom w:val="single" w:sz="4" w:space="0" w:color="auto"/>
              <w:right w:val="nil"/>
            </w:tcBorders>
            <w:hideMark/>
          </w:tcPr>
          <w:p w14:paraId="7F17C7D7" w14:textId="77777777" w:rsidR="00BE5A44" w:rsidRDefault="00BE5A44" w:rsidP="005E3A8C">
            <w:pPr>
              <w:spacing w:after="0" w:line="240" w:lineRule="auto"/>
              <w:rPr>
                <w:sz w:val="18"/>
              </w:rPr>
            </w:pPr>
            <w:r>
              <w:rPr>
                <w:sz w:val="18"/>
              </w:rPr>
              <w:t>5.27 (1.21 to 22.94)*</w:t>
            </w:r>
          </w:p>
        </w:tc>
        <w:tc>
          <w:tcPr>
            <w:tcW w:w="2051" w:type="dxa"/>
            <w:tcBorders>
              <w:top w:val="nil"/>
              <w:left w:val="nil"/>
              <w:bottom w:val="single" w:sz="4" w:space="0" w:color="auto"/>
              <w:right w:val="nil"/>
            </w:tcBorders>
            <w:hideMark/>
          </w:tcPr>
          <w:p w14:paraId="4E5A6D34" w14:textId="77777777" w:rsidR="00BE5A44" w:rsidRDefault="00BE5A44" w:rsidP="005E3A8C">
            <w:pPr>
              <w:spacing w:after="0" w:line="240" w:lineRule="auto"/>
              <w:rPr>
                <w:sz w:val="18"/>
              </w:rPr>
            </w:pPr>
            <w:r>
              <w:rPr>
                <w:sz w:val="18"/>
              </w:rPr>
              <w:t>1.12 (0.61 to 2.03)</w:t>
            </w:r>
          </w:p>
        </w:tc>
      </w:tr>
      <w:tr w:rsidR="00BE5A44" w14:paraId="08CD3A51" w14:textId="77777777" w:rsidTr="005E3A8C">
        <w:trPr>
          <w:trHeight w:hRule="exact" w:val="207"/>
        </w:trPr>
        <w:tc>
          <w:tcPr>
            <w:tcW w:w="0" w:type="auto"/>
            <w:vMerge/>
            <w:tcBorders>
              <w:top w:val="single" w:sz="12" w:space="0" w:color="auto"/>
              <w:left w:val="nil"/>
              <w:bottom w:val="single" w:sz="4" w:space="0" w:color="auto"/>
              <w:right w:val="nil"/>
            </w:tcBorders>
            <w:vAlign w:val="center"/>
            <w:hideMark/>
          </w:tcPr>
          <w:p w14:paraId="1DA3F328" w14:textId="77777777" w:rsidR="00BE5A44" w:rsidRDefault="00BE5A44" w:rsidP="005E3A8C">
            <w:pPr>
              <w:spacing w:after="0" w:line="240" w:lineRule="auto"/>
              <w:rPr>
                <w:sz w:val="18"/>
              </w:rPr>
            </w:pPr>
          </w:p>
        </w:tc>
        <w:tc>
          <w:tcPr>
            <w:tcW w:w="0" w:type="auto"/>
            <w:vMerge w:val="restart"/>
            <w:tcBorders>
              <w:top w:val="single" w:sz="4" w:space="0" w:color="auto"/>
              <w:left w:val="nil"/>
              <w:bottom w:val="nil"/>
              <w:right w:val="nil"/>
            </w:tcBorders>
            <w:hideMark/>
          </w:tcPr>
          <w:p w14:paraId="35B4187A" w14:textId="77777777" w:rsidR="00BE5A44" w:rsidRDefault="00BE5A44" w:rsidP="005E3A8C">
            <w:pPr>
              <w:spacing w:after="0" w:line="240" w:lineRule="auto"/>
              <w:rPr>
                <w:sz w:val="18"/>
              </w:rPr>
            </w:pPr>
            <w:r>
              <w:rPr>
                <w:sz w:val="18"/>
              </w:rPr>
              <w:t>Work for NHS - self</w:t>
            </w:r>
          </w:p>
        </w:tc>
        <w:tc>
          <w:tcPr>
            <w:tcW w:w="2856" w:type="dxa"/>
            <w:tcBorders>
              <w:top w:val="single" w:sz="4" w:space="0" w:color="auto"/>
              <w:left w:val="nil"/>
              <w:bottom w:val="nil"/>
              <w:right w:val="nil"/>
            </w:tcBorders>
            <w:hideMark/>
          </w:tcPr>
          <w:p w14:paraId="591BDD15" w14:textId="77777777" w:rsidR="00BE5A44" w:rsidRDefault="00BE5A44" w:rsidP="005E3A8C">
            <w:pPr>
              <w:spacing w:after="0" w:line="240" w:lineRule="auto"/>
              <w:rPr>
                <w:sz w:val="18"/>
              </w:rPr>
            </w:pPr>
            <w:r>
              <w:rPr>
                <w:sz w:val="18"/>
                <w:szCs w:val="18"/>
              </w:rPr>
              <w:t>No</w:t>
            </w:r>
          </w:p>
        </w:tc>
        <w:tc>
          <w:tcPr>
            <w:tcW w:w="1985" w:type="dxa"/>
            <w:tcBorders>
              <w:top w:val="single" w:sz="4" w:space="0" w:color="auto"/>
              <w:left w:val="nil"/>
              <w:bottom w:val="nil"/>
              <w:right w:val="nil"/>
            </w:tcBorders>
            <w:hideMark/>
          </w:tcPr>
          <w:p w14:paraId="1CFD4386"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3B143DCD"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1293BE50"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48F8B890" w14:textId="77777777" w:rsidR="00BE5A44" w:rsidRDefault="00BE5A44" w:rsidP="005E3A8C">
            <w:pPr>
              <w:spacing w:after="0" w:line="240" w:lineRule="auto"/>
              <w:rPr>
                <w:sz w:val="18"/>
              </w:rPr>
            </w:pPr>
            <w:r>
              <w:rPr>
                <w:sz w:val="18"/>
              </w:rPr>
              <w:t>Reference</w:t>
            </w:r>
          </w:p>
        </w:tc>
      </w:tr>
      <w:tr w:rsidR="00BE5A44" w14:paraId="40DA4719" w14:textId="77777777" w:rsidTr="005E3A8C">
        <w:trPr>
          <w:trHeight w:val="129"/>
        </w:trPr>
        <w:tc>
          <w:tcPr>
            <w:tcW w:w="0" w:type="auto"/>
            <w:vMerge/>
            <w:tcBorders>
              <w:top w:val="single" w:sz="12" w:space="0" w:color="auto"/>
              <w:left w:val="nil"/>
              <w:bottom w:val="single" w:sz="4" w:space="0" w:color="auto"/>
              <w:right w:val="nil"/>
            </w:tcBorders>
            <w:vAlign w:val="center"/>
            <w:hideMark/>
          </w:tcPr>
          <w:p w14:paraId="4442EC46" w14:textId="77777777" w:rsidR="00BE5A44" w:rsidRDefault="00BE5A44" w:rsidP="005E3A8C">
            <w:pPr>
              <w:spacing w:after="0" w:line="240" w:lineRule="auto"/>
              <w:rPr>
                <w:sz w:val="18"/>
              </w:rPr>
            </w:pPr>
          </w:p>
        </w:tc>
        <w:tc>
          <w:tcPr>
            <w:tcW w:w="0" w:type="auto"/>
            <w:vMerge/>
            <w:tcBorders>
              <w:top w:val="single" w:sz="4" w:space="0" w:color="auto"/>
              <w:left w:val="nil"/>
              <w:bottom w:val="nil"/>
              <w:right w:val="nil"/>
            </w:tcBorders>
            <w:vAlign w:val="center"/>
            <w:hideMark/>
          </w:tcPr>
          <w:p w14:paraId="566F11C5" w14:textId="77777777" w:rsidR="00BE5A44" w:rsidRDefault="00BE5A44" w:rsidP="005E3A8C">
            <w:pPr>
              <w:spacing w:after="0" w:line="240" w:lineRule="auto"/>
              <w:rPr>
                <w:sz w:val="18"/>
              </w:rPr>
            </w:pPr>
          </w:p>
        </w:tc>
        <w:tc>
          <w:tcPr>
            <w:tcW w:w="2856" w:type="dxa"/>
            <w:tcBorders>
              <w:top w:val="nil"/>
              <w:left w:val="nil"/>
              <w:bottom w:val="nil"/>
              <w:right w:val="nil"/>
            </w:tcBorders>
            <w:hideMark/>
          </w:tcPr>
          <w:p w14:paraId="7E099252" w14:textId="77777777" w:rsidR="00BE5A44" w:rsidRDefault="00BE5A44" w:rsidP="005E3A8C">
            <w:pPr>
              <w:spacing w:after="0" w:line="240" w:lineRule="auto"/>
              <w:rPr>
                <w:sz w:val="18"/>
              </w:rPr>
            </w:pPr>
            <w:r>
              <w:rPr>
                <w:sz w:val="18"/>
              </w:rPr>
              <w:t>Yes</w:t>
            </w:r>
          </w:p>
        </w:tc>
        <w:tc>
          <w:tcPr>
            <w:tcW w:w="1985" w:type="dxa"/>
            <w:tcBorders>
              <w:top w:val="nil"/>
              <w:left w:val="nil"/>
              <w:bottom w:val="nil"/>
              <w:right w:val="nil"/>
            </w:tcBorders>
            <w:hideMark/>
          </w:tcPr>
          <w:p w14:paraId="503F593C" w14:textId="77777777" w:rsidR="00BE5A44" w:rsidRDefault="00BE5A44" w:rsidP="005E3A8C">
            <w:pPr>
              <w:spacing w:after="0" w:line="240" w:lineRule="auto"/>
              <w:rPr>
                <w:sz w:val="18"/>
              </w:rPr>
            </w:pPr>
            <w:r>
              <w:rPr>
                <w:sz w:val="18"/>
              </w:rPr>
              <w:t>0.99 (0.68 to 1.44)</w:t>
            </w:r>
          </w:p>
        </w:tc>
        <w:tc>
          <w:tcPr>
            <w:tcW w:w="1984" w:type="dxa"/>
            <w:tcBorders>
              <w:top w:val="nil"/>
              <w:left w:val="nil"/>
              <w:bottom w:val="nil"/>
              <w:right w:val="nil"/>
            </w:tcBorders>
            <w:hideMark/>
          </w:tcPr>
          <w:p w14:paraId="294F3FF8" w14:textId="77777777" w:rsidR="00BE5A44" w:rsidRDefault="00BE5A44" w:rsidP="005E3A8C">
            <w:pPr>
              <w:spacing w:after="0" w:line="240" w:lineRule="auto"/>
              <w:rPr>
                <w:sz w:val="18"/>
              </w:rPr>
            </w:pPr>
            <w:r>
              <w:rPr>
                <w:sz w:val="18"/>
              </w:rPr>
              <w:t>2.32 (1.53 to 3.52)*</w:t>
            </w:r>
          </w:p>
        </w:tc>
        <w:tc>
          <w:tcPr>
            <w:tcW w:w="1701" w:type="dxa"/>
            <w:tcBorders>
              <w:top w:val="nil"/>
              <w:left w:val="nil"/>
              <w:bottom w:val="nil"/>
              <w:right w:val="nil"/>
            </w:tcBorders>
            <w:hideMark/>
          </w:tcPr>
          <w:p w14:paraId="6055D985" w14:textId="77777777" w:rsidR="00BE5A44" w:rsidRDefault="00BE5A44" w:rsidP="005E3A8C">
            <w:pPr>
              <w:spacing w:after="0" w:line="240" w:lineRule="auto"/>
              <w:rPr>
                <w:sz w:val="18"/>
              </w:rPr>
            </w:pPr>
            <w:r>
              <w:rPr>
                <w:sz w:val="18"/>
              </w:rPr>
              <w:t>0.65 (0.08 to 5.45)</w:t>
            </w:r>
          </w:p>
        </w:tc>
        <w:tc>
          <w:tcPr>
            <w:tcW w:w="2051" w:type="dxa"/>
            <w:tcBorders>
              <w:top w:val="nil"/>
              <w:left w:val="nil"/>
              <w:bottom w:val="nil"/>
              <w:right w:val="nil"/>
            </w:tcBorders>
            <w:hideMark/>
          </w:tcPr>
          <w:p w14:paraId="5886A7A5" w14:textId="77777777" w:rsidR="00BE5A44" w:rsidRDefault="00BE5A44" w:rsidP="005E3A8C">
            <w:pPr>
              <w:spacing w:after="0" w:line="240" w:lineRule="auto"/>
              <w:rPr>
                <w:sz w:val="18"/>
              </w:rPr>
            </w:pPr>
            <w:r>
              <w:rPr>
                <w:sz w:val="18"/>
              </w:rPr>
              <w:t>4.17 (2.21 to 7.87)*</w:t>
            </w:r>
          </w:p>
        </w:tc>
      </w:tr>
      <w:tr w:rsidR="00BE5A44" w14:paraId="7EB57B21" w14:textId="77777777" w:rsidTr="005E3A8C">
        <w:trPr>
          <w:trHeight w:val="70"/>
        </w:trPr>
        <w:tc>
          <w:tcPr>
            <w:tcW w:w="0" w:type="auto"/>
            <w:vMerge/>
            <w:tcBorders>
              <w:top w:val="single" w:sz="12" w:space="0" w:color="auto"/>
              <w:left w:val="nil"/>
              <w:bottom w:val="single" w:sz="4" w:space="0" w:color="auto"/>
              <w:right w:val="nil"/>
            </w:tcBorders>
            <w:vAlign w:val="center"/>
            <w:hideMark/>
          </w:tcPr>
          <w:p w14:paraId="10E661FA" w14:textId="77777777" w:rsidR="00BE5A44" w:rsidRDefault="00BE5A44" w:rsidP="005E3A8C">
            <w:pPr>
              <w:spacing w:after="0" w:line="240" w:lineRule="auto"/>
              <w:rPr>
                <w:sz w:val="18"/>
              </w:rPr>
            </w:pPr>
          </w:p>
        </w:tc>
        <w:tc>
          <w:tcPr>
            <w:tcW w:w="0" w:type="auto"/>
            <w:vMerge w:val="restart"/>
            <w:tcBorders>
              <w:top w:val="single" w:sz="4" w:space="0" w:color="auto"/>
              <w:left w:val="nil"/>
              <w:bottom w:val="nil"/>
              <w:right w:val="nil"/>
            </w:tcBorders>
            <w:hideMark/>
          </w:tcPr>
          <w:p w14:paraId="714969C4" w14:textId="77777777" w:rsidR="00BE5A44" w:rsidRDefault="00BE5A44" w:rsidP="005E3A8C">
            <w:pPr>
              <w:spacing w:after="0" w:line="240" w:lineRule="auto"/>
              <w:rPr>
                <w:sz w:val="18"/>
              </w:rPr>
            </w:pPr>
            <w:r>
              <w:rPr>
                <w:sz w:val="18"/>
              </w:rPr>
              <w:t>Work for NHS – members of my family</w:t>
            </w:r>
          </w:p>
        </w:tc>
        <w:tc>
          <w:tcPr>
            <w:tcW w:w="2856" w:type="dxa"/>
            <w:tcBorders>
              <w:top w:val="single" w:sz="4" w:space="0" w:color="auto"/>
              <w:left w:val="nil"/>
              <w:bottom w:val="nil"/>
              <w:right w:val="nil"/>
            </w:tcBorders>
            <w:hideMark/>
          </w:tcPr>
          <w:p w14:paraId="286B7C04" w14:textId="77777777" w:rsidR="00BE5A44" w:rsidRDefault="00BE5A44" w:rsidP="005E3A8C">
            <w:pPr>
              <w:spacing w:after="0" w:line="240" w:lineRule="auto"/>
              <w:rPr>
                <w:sz w:val="18"/>
              </w:rPr>
            </w:pPr>
            <w:r>
              <w:rPr>
                <w:sz w:val="18"/>
                <w:szCs w:val="18"/>
              </w:rPr>
              <w:t>No</w:t>
            </w:r>
          </w:p>
        </w:tc>
        <w:tc>
          <w:tcPr>
            <w:tcW w:w="1985" w:type="dxa"/>
            <w:tcBorders>
              <w:top w:val="single" w:sz="4" w:space="0" w:color="auto"/>
              <w:left w:val="nil"/>
              <w:bottom w:val="nil"/>
              <w:right w:val="nil"/>
            </w:tcBorders>
            <w:hideMark/>
          </w:tcPr>
          <w:p w14:paraId="3E816A03"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05CCD6A6"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1E5364D1"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004F567C" w14:textId="77777777" w:rsidR="00BE5A44" w:rsidRDefault="00BE5A44" w:rsidP="005E3A8C">
            <w:pPr>
              <w:spacing w:after="0" w:line="240" w:lineRule="auto"/>
              <w:rPr>
                <w:sz w:val="18"/>
              </w:rPr>
            </w:pPr>
            <w:r>
              <w:rPr>
                <w:sz w:val="18"/>
              </w:rPr>
              <w:t>Reference</w:t>
            </w:r>
          </w:p>
        </w:tc>
      </w:tr>
      <w:tr w:rsidR="00BE5A44" w14:paraId="1EB5FAF5" w14:textId="77777777" w:rsidTr="005E3A8C">
        <w:trPr>
          <w:trHeight w:val="157"/>
        </w:trPr>
        <w:tc>
          <w:tcPr>
            <w:tcW w:w="0" w:type="auto"/>
            <w:vMerge/>
            <w:tcBorders>
              <w:top w:val="single" w:sz="12" w:space="0" w:color="auto"/>
              <w:left w:val="nil"/>
              <w:bottom w:val="single" w:sz="4" w:space="0" w:color="auto"/>
              <w:right w:val="nil"/>
            </w:tcBorders>
            <w:vAlign w:val="center"/>
            <w:hideMark/>
          </w:tcPr>
          <w:p w14:paraId="1341A803" w14:textId="77777777" w:rsidR="00BE5A44" w:rsidRDefault="00BE5A44" w:rsidP="005E3A8C">
            <w:pPr>
              <w:spacing w:after="0" w:line="240" w:lineRule="auto"/>
              <w:rPr>
                <w:sz w:val="18"/>
              </w:rPr>
            </w:pPr>
          </w:p>
        </w:tc>
        <w:tc>
          <w:tcPr>
            <w:tcW w:w="0" w:type="auto"/>
            <w:vMerge/>
            <w:tcBorders>
              <w:top w:val="single" w:sz="4" w:space="0" w:color="auto"/>
              <w:left w:val="nil"/>
              <w:bottom w:val="nil"/>
              <w:right w:val="nil"/>
            </w:tcBorders>
            <w:vAlign w:val="center"/>
            <w:hideMark/>
          </w:tcPr>
          <w:p w14:paraId="58D74917" w14:textId="77777777" w:rsidR="00BE5A44" w:rsidRDefault="00BE5A44" w:rsidP="005E3A8C">
            <w:pPr>
              <w:spacing w:after="0" w:line="240" w:lineRule="auto"/>
              <w:rPr>
                <w:sz w:val="18"/>
              </w:rPr>
            </w:pPr>
          </w:p>
        </w:tc>
        <w:tc>
          <w:tcPr>
            <w:tcW w:w="2856" w:type="dxa"/>
            <w:tcBorders>
              <w:top w:val="nil"/>
              <w:left w:val="nil"/>
              <w:bottom w:val="nil"/>
              <w:right w:val="nil"/>
            </w:tcBorders>
            <w:hideMark/>
          </w:tcPr>
          <w:p w14:paraId="561BD491" w14:textId="77777777" w:rsidR="00BE5A44" w:rsidRDefault="00BE5A44" w:rsidP="005E3A8C">
            <w:pPr>
              <w:spacing w:after="0" w:line="240" w:lineRule="auto"/>
              <w:rPr>
                <w:sz w:val="18"/>
              </w:rPr>
            </w:pPr>
            <w:r>
              <w:rPr>
                <w:sz w:val="18"/>
              </w:rPr>
              <w:t>Yes</w:t>
            </w:r>
          </w:p>
        </w:tc>
        <w:tc>
          <w:tcPr>
            <w:tcW w:w="1985" w:type="dxa"/>
            <w:tcBorders>
              <w:top w:val="nil"/>
              <w:left w:val="nil"/>
              <w:bottom w:val="nil"/>
              <w:right w:val="nil"/>
            </w:tcBorders>
            <w:hideMark/>
          </w:tcPr>
          <w:p w14:paraId="04B69705" w14:textId="77777777" w:rsidR="00BE5A44" w:rsidRDefault="00BE5A44" w:rsidP="005E3A8C">
            <w:pPr>
              <w:spacing w:after="0" w:line="240" w:lineRule="auto"/>
              <w:rPr>
                <w:sz w:val="18"/>
              </w:rPr>
            </w:pPr>
            <w:r>
              <w:rPr>
                <w:sz w:val="18"/>
              </w:rPr>
              <w:t>1.05 (0.83 to 1.33)</w:t>
            </w:r>
          </w:p>
        </w:tc>
        <w:tc>
          <w:tcPr>
            <w:tcW w:w="1984" w:type="dxa"/>
            <w:tcBorders>
              <w:top w:val="nil"/>
              <w:left w:val="nil"/>
              <w:bottom w:val="nil"/>
              <w:right w:val="nil"/>
            </w:tcBorders>
            <w:hideMark/>
          </w:tcPr>
          <w:p w14:paraId="6BCC5436" w14:textId="77777777" w:rsidR="00BE5A44" w:rsidRDefault="00BE5A44" w:rsidP="005E3A8C">
            <w:pPr>
              <w:spacing w:after="0" w:line="240" w:lineRule="auto"/>
              <w:rPr>
                <w:sz w:val="18"/>
              </w:rPr>
            </w:pPr>
            <w:r>
              <w:rPr>
                <w:sz w:val="18"/>
              </w:rPr>
              <w:t>1.54 (1.14 to 2.08)*</w:t>
            </w:r>
          </w:p>
        </w:tc>
        <w:tc>
          <w:tcPr>
            <w:tcW w:w="1701" w:type="dxa"/>
            <w:tcBorders>
              <w:top w:val="nil"/>
              <w:left w:val="nil"/>
              <w:bottom w:val="nil"/>
              <w:right w:val="nil"/>
            </w:tcBorders>
            <w:hideMark/>
          </w:tcPr>
          <w:p w14:paraId="18C77AB4" w14:textId="77777777" w:rsidR="00BE5A44" w:rsidRDefault="00BE5A44" w:rsidP="005E3A8C">
            <w:pPr>
              <w:spacing w:after="0" w:line="240" w:lineRule="auto"/>
              <w:rPr>
                <w:sz w:val="18"/>
              </w:rPr>
            </w:pPr>
            <w:r>
              <w:rPr>
                <w:sz w:val="18"/>
              </w:rPr>
              <w:t>0.75 (0.32 to 1.78)</w:t>
            </w:r>
          </w:p>
        </w:tc>
        <w:tc>
          <w:tcPr>
            <w:tcW w:w="2051" w:type="dxa"/>
            <w:tcBorders>
              <w:top w:val="nil"/>
              <w:left w:val="nil"/>
              <w:bottom w:val="nil"/>
              <w:right w:val="nil"/>
            </w:tcBorders>
            <w:hideMark/>
          </w:tcPr>
          <w:p w14:paraId="37BB1233" w14:textId="77777777" w:rsidR="00BE5A44" w:rsidRDefault="00BE5A44" w:rsidP="005E3A8C">
            <w:pPr>
              <w:spacing w:after="0" w:line="240" w:lineRule="auto"/>
              <w:rPr>
                <w:sz w:val="18"/>
              </w:rPr>
            </w:pPr>
            <w:r>
              <w:rPr>
                <w:sz w:val="18"/>
              </w:rPr>
              <w:t>1.83 (1.08 to 3.11)*</w:t>
            </w:r>
          </w:p>
        </w:tc>
      </w:tr>
      <w:tr w:rsidR="00BE5A44" w14:paraId="174EA9BC" w14:textId="77777777" w:rsidTr="005E3A8C">
        <w:trPr>
          <w:trHeight w:val="70"/>
        </w:trPr>
        <w:tc>
          <w:tcPr>
            <w:tcW w:w="0" w:type="auto"/>
            <w:vMerge/>
            <w:tcBorders>
              <w:top w:val="single" w:sz="12" w:space="0" w:color="auto"/>
              <w:left w:val="nil"/>
              <w:bottom w:val="single" w:sz="4" w:space="0" w:color="auto"/>
              <w:right w:val="nil"/>
            </w:tcBorders>
            <w:vAlign w:val="center"/>
            <w:hideMark/>
          </w:tcPr>
          <w:p w14:paraId="466946F8" w14:textId="77777777" w:rsidR="00BE5A44" w:rsidRDefault="00BE5A44" w:rsidP="005E3A8C">
            <w:pPr>
              <w:spacing w:after="0" w:line="240" w:lineRule="auto"/>
              <w:rPr>
                <w:sz w:val="18"/>
              </w:rPr>
            </w:pPr>
          </w:p>
        </w:tc>
        <w:tc>
          <w:tcPr>
            <w:tcW w:w="0" w:type="auto"/>
            <w:vMerge w:val="restart"/>
            <w:tcBorders>
              <w:top w:val="single" w:sz="4" w:space="0" w:color="auto"/>
              <w:left w:val="nil"/>
              <w:bottom w:val="nil"/>
              <w:right w:val="nil"/>
            </w:tcBorders>
            <w:hideMark/>
          </w:tcPr>
          <w:p w14:paraId="4FD47A40" w14:textId="77777777" w:rsidR="00BE5A44" w:rsidRDefault="00BE5A44" w:rsidP="005E3A8C">
            <w:pPr>
              <w:spacing w:after="0" w:line="240" w:lineRule="auto"/>
              <w:rPr>
                <w:sz w:val="18"/>
              </w:rPr>
            </w:pPr>
            <w:r>
              <w:rPr>
                <w:sz w:val="18"/>
              </w:rPr>
              <w:t>Work for NHS - friends</w:t>
            </w:r>
          </w:p>
        </w:tc>
        <w:tc>
          <w:tcPr>
            <w:tcW w:w="2856" w:type="dxa"/>
            <w:tcBorders>
              <w:top w:val="single" w:sz="4" w:space="0" w:color="auto"/>
              <w:left w:val="nil"/>
              <w:bottom w:val="nil"/>
              <w:right w:val="nil"/>
            </w:tcBorders>
            <w:hideMark/>
          </w:tcPr>
          <w:p w14:paraId="2562C125" w14:textId="77777777" w:rsidR="00BE5A44" w:rsidRDefault="00BE5A44" w:rsidP="005E3A8C">
            <w:pPr>
              <w:spacing w:after="0" w:line="240" w:lineRule="auto"/>
              <w:rPr>
                <w:sz w:val="18"/>
              </w:rPr>
            </w:pPr>
            <w:r>
              <w:rPr>
                <w:sz w:val="18"/>
                <w:szCs w:val="18"/>
              </w:rPr>
              <w:t>No</w:t>
            </w:r>
          </w:p>
        </w:tc>
        <w:tc>
          <w:tcPr>
            <w:tcW w:w="1985" w:type="dxa"/>
            <w:tcBorders>
              <w:top w:val="single" w:sz="4" w:space="0" w:color="auto"/>
              <w:left w:val="nil"/>
              <w:bottom w:val="nil"/>
              <w:right w:val="nil"/>
            </w:tcBorders>
            <w:hideMark/>
          </w:tcPr>
          <w:p w14:paraId="58985E63"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6869F3C6"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43B9DDC7"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4C7DF5E1" w14:textId="77777777" w:rsidR="00BE5A44" w:rsidRDefault="00BE5A44" w:rsidP="005E3A8C">
            <w:pPr>
              <w:spacing w:after="0" w:line="240" w:lineRule="auto"/>
              <w:rPr>
                <w:sz w:val="18"/>
              </w:rPr>
            </w:pPr>
            <w:r>
              <w:rPr>
                <w:sz w:val="18"/>
              </w:rPr>
              <w:t>Reference</w:t>
            </w:r>
          </w:p>
        </w:tc>
      </w:tr>
      <w:tr w:rsidR="00BE5A44" w14:paraId="24F35A0A" w14:textId="77777777" w:rsidTr="005E3A8C">
        <w:trPr>
          <w:trHeight w:val="107"/>
        </w:trPr>
        <w:tc>
          <w:tcPr>
            <w:tcW w:w="0" w:type="auto"/>
            <w:vMerge/>
            <w:tcBorders>
              <w:top w:val="single" w:sz="12" w:space="0" w:color="auto"/>
              <w:left w:val="nil"/>
              <w:bottom w:val="single" w:sz="4" w:space="0" w:color="auto"/>
              <w:right w:val="nil"/>
            </w:tcBorders>
            <w:vAlign w:val="center"/>
            <w:hideMark/>
          </w:tcPr>
          <w:p w14:paraId="3FD2417A" w14:textId="77777777" w:rsidR="00BE5A44" w:rsidRDefault="00BE5A44" w:rsidP="005E3A8C">
            <w:pPr>
              <w:spacing w:after="0" w:line="240" w:lineRule="auto"/>
              <w:rPr>
                <w:sz w:val="18"/>
              </w:rPr>
            </w:pPr>
          </w:p>
        </w:tc>
        <w:tc>
          <w:tcPr>
            <w:tcW w:w="0" w:type="auto"/>
            <w:vMerge/>
            <w:tcBorders>
              <w:top w:val="single" w:sz="4" w:space="0" w:color="auto"/>
              <w:left w:val="nil"/>
              <w:bottom w:val="nil"/>
              <w:right w:val="nil"/>
            </w:tcBorders>
            <w:vAlign w:val="center"/>
            <w:hideMark/>
          </w:tcPr>
          <w:p w14:paraId="0026B74C" w14:textId="77777777" w:rsidR="00BE5A44" w:rsidRDefault="00BE5A44" w:rsidP="005E3A8C">
            <w:pPr>
              <w:spacing w:after="0" w:line="240" w:lineRule="auto"/>
              <w:rPr>
                <w:sz w:val="18"/>
              </w:rPr>
            </w:pPr>
          </w:p>
        </w:tc>
        <w:tc>
          <w:tcPr>
            <w:tcW w:w="2856" w:type="dxa"/>
            <w:tcBorders>
              <w:top w:val="nil"/>
              <w:left w:val="nil"/>
              <w:bottom w:val="nil"/>
              <w:right w:val="nil"/>
            </w:tcBorders>
            <w:hideMark/>
          </w:tcPr>
          <w:p w14:paraId="68528725" w14:textId="77777777" w:rsidR="00BE5A44" w:rsidRDefault="00BE5A44" w:rsidP="005E3A8C">
            <w:pPr>
              <w:spacing w:after="0" w:line="240" w:lineRule="auto"/>
              <w:rPr>
                <w:sz w:val="18"/>
              </w:rPr>
            </w:pPr>
            <w:r>
              <w:rPr>
                <w:sz w:val="18"/>
              </w:rPr>
              <w:t>Yes</w:t>
            </w:r>
          </w:p>
        </w:tc>
        <w:tc>
          <w:tcPr>
            <w:tcW w:w="1985" w:type="dxa"/>
            <w:tcBorders>
              <w:top w:val="nil"/>
              <w:left w:val="nil"/>
              <w:bottom w:val="nil"/>
              <w:right w:val="nil"/>
            </w:tcBorders>
            <w:hideMark/>
          </w:tcPr>
          <w:p w14:paraId="41177A8C"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1.14 (0.89 to 1.46)</w:t>
            </w:r>
          </w:p>
        </w:tc>
        <w:tc>
          <w:tcPr>
            <w:tcW w:w="1984" w:type="dxa"/>
            <w:tcBorders>
              <w:top w:val="nil"/>
              <w:left w:val="nil"/>
              <w:bottom w:val="nil"/>
              <w:right w:val="nil"/>
            </w:tcBorders>
            <w:hideMark/>
          </w:tcPr>
          <w:p w14:paraId="3CC5287F"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0.7 (0.5 to 1) [P=.050]</w:t>
            </w:r>
          </w:p>
        </w:tc>
        <w:tc>
          <w:tcPr>
            <w:tcW w:w="1701" w:type="dxa"/>
            <w:tcBorders>
              <w:top w:val="nil"/>
              <w:left w:val="nil"/>
              <w:bottom w:val="nil"/>
              <w:right w:val="nil"/>
            </w:tcBorders>
            <w:hideMark/>
          </w:tcPr>
          <w:p w14:paraId="72AF6F98"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0.91 (0.46 to 1.82)</w:t>
            </w:r>
          </w:p>
        </w:tc>
        <w:tc>
          <w:tcPr>
            <w:tcW w:w="2051" w:type="dxa"/>
            <w:tcBorders>
              <w:top w:val="nil"/>
              <w:left w:val="nil"/>
              <w:bottom w:val="nil"/>
              <w:right w:val="nil"/>
            </w:tcBorders>
            <w:hideMark/>
          </w:tcPr>
          <w:p w14:paraId="4F5903CB" w14:textId="77777777" w:rsidR="00BE5A44" w:rsidRDefault="00BE5A44" w:rsidP="005E3A8C">
            <w:pPr>
              <w:spacing w:after="0" w:line="240" w:lineRule="auto"/>
              <w:rPr>
                <w:rFonts w:eastAsia="Times New Roman" w:cs="Times"/>
                <w:color w:val="000000"/>
                <w:sz w:val="18"/>
                <w:szCs w:val="18"/>
              </w:rPr>
            </w:pPr>
            <w:r>
              <w:rPr>
                <w:rFonts w:eastAsia="Times New Roman" w:cs="Times"/>
                <w:color w:val="000000"/>
                <w:sz w:val="18"/>
                <w:szCs w:val="18"/>
              </w:rPr>
              <w:t>0.86 (0.45 to 1.66)</w:t>
            </w:r>
          </w:p>
        </w:tc>
      </w:tr>
      <w:tr w:rsidR="00BE5A44" w14:paraId="1F0609A3" w14:textId="77777777" w:rsidTr="005E3A8C">
        <w:trPr>
          <w:trHeight w:val="144"/>
        </w:trPr>
        <w:tc>
          <w:tcPr>
            <w:tcW w:w="0" w:type="auto"/>
            <w:vMerge/>
            <w:tcBorders>
              <w:top w:val="single" w:sz="12" w:space="0" w:color="auto"/>
              <w:left w:val="nil"/>
              <w:bottom w:val="single" w:sz="4" w:space="0" w:color="auto"/>
              <w:right w:val="nil"/>
            </w:tcBorders>
            <w:vAlign w:val="center"/>
            <w:hideMark/>
          </w:tcPr>
          <w:p w14:paraId="26D1FC90" w14:textId="77777777" w:rsidR="00BE5A44" w:rsidRDefault="00BE5A44" w:rsidP="005E3A8C">
            <w:pPr>
              <w:spacing w:after="0" w:line="240" w:lineRule="auto"/>
              <w:rPr>
                <w:sz w:val="18"/>
              </w:rPr>
            </w:pPr>
          </w:p>
        </w:tc>
        <w:tc>
          <w:tcPr>
            <w:tcW w:w="0" w:type="auto"/>
            <w:vMerge w:val="restart"/>
            <w:tcBorders>
              <w:top w:val="single" w:sz="4" w:space="0" w:color="auto"/>
              <w:left w:val="nil"/>
              <w:bottom w:val="nil"/>
              <w:right w:val="nil"/>
            </w:tcBorders>
            <w:hideMark/>
          </w:tcPr>
          <w:p w14:paraId="60D2EC5D" w14:textId="77777777" w:rsidR="00BE5A44" w:rsidRDefault="00BE5A44" w:rsidP="005E3A8C">
            <w:pPr>
              <w:spacing w:after="0" w:line="240" w:lineRule="auto"/>
              <w:rPr>
                <w:sz w:val="18"/>
                <w:szCs w:val="18"/>
              </w:rPr>
            </w:pPr>
            <w:r>
              <w:rPr>
                <w:sz w:val="18"/>
              </w:rPr>
              <w:t>Socioeconomic group (Index of multiple deprivation)</w:t>
            </w:r>
          </w:p>
        </w:tc>
        <w:tc>
          <w:tcPr>
            <w:tcW w:w="2856" w:type="dxa"/>
            <w:tcBorders>
              <w:top w:val="single" w:sz="4" w:space="0" w:color="auto"/>
              <w:left w:val="nil"/>
              <w:bottom w:val="nil"/>
              <w:right w:val="nil"/>
            </w:tcBorders>
            <w:hideMark/>
          </w:tcPr>
          <w:p w14:paraId="16C293A3" w14:textId="77777777" w:rsidR="00BE5A44" w:rsidRDefault="00BE5A44" w:rsidP="005E3A8C">
            <w:pPr>
              <w:spacing w:after="0" w:line="240" w:lineRule="auto"/>
              <w:rPr>
                <w:sz w:val="18"/>
                <w:szCs w:val="18"/>
              </w:rPr>
            </w:pPr>
            <w:r>
              <w:rPr>
                <w:sz w:val="18"/>
              </w:rPr>
              <w:t>1</w:t>
            </w:r>
            <w:r>
              <w:rPr>
                <w:sz w:val="18"/>
                <w:vertAlign w:val="superscript"/>
              </w:rPr>
              <w:t>st</w:t>
            </w:r>
            <w:r>
              <w:rPr>
                <w:sz w:val="18"/>
              </w:rPr>
              <w:t xml:space="preserve"> quartile (least deprived)</w:t>
            </w:r>
          </w:p>
        </w:tc>
        <w:tc>
          <w:tcPr>
            <w:tcW w:w="1985" w:type="dxa"/>
            <w:tcBorders>
              <w:top w:val="single" w:sz="4" w:space="0" w:color="auto"/>
              <w:left w:val="nil"/>
              <w:bottom w:val="nil"/>
              <w:right w:val="nil"/>
            </w:tcBorders>
            <w:hideMark/>
          </w:tcPr>
          <w:p w14:paraId="41A6A49D" w14:textId="77777777" w:rsidR="00BE5A44" w:rsidRDefault="00BE5A44" w:rsidP="005E3A8C">
            <w:pPr>
              <w:spacing w:after="0" w:line="240" w:lineRule="auto"/>
              <w:rPr>
                <w:sz w:val="18"/>
                <w:szCs w:val="18"/>
              </w:rPr>
            </w:pPr>
            <w:r>
              <w:rPr>
                <w:sz w:val="18"/>
              </w:rPr>
              <w:t>Reference</w:t>
            </w:r>
          </w:p>
        </w:tc>
        <w:tc>
          <w:tcPr>
            <w:tcW w:w="1984" w:type="dxa"/>
            <w:tcBorders>
              <w:top w:val="single" w:sz="4" w:space="0" w:color="auto"/>
              <w:left w:val="nil"/>
              <w:bottom w:val="nil"/>
              <w:right w:val="nil"/>
            </w:tcBorders>
            <w:hideMark/>
          </w:tcPr>
          <w:p w14:paraId="3105F10E" w14:textId="77777777" w:rsidR="00BE5A44" w:rsidRDefault="00BE5A44" w:rsidP="005E3A8C">
            <w:pPr>
              <w:spacing w:after="0" w:line="240" w:lineRule="auto"/>
              <w:rPr>
                <w:sz w:val="18"/>
                <w:szCs w:val="18"/>
              </w:rPr>
            </w:pPr>
            <w:r>
              <w:rPr>
                <w:sz w:val="18"/>
              </w:rPr>
              <w:t>Reference</w:t>
            </w:r>
          </w:p>
        </w:tc>
        <w:tc>
          <w:tcPr>
            <w:tcW w:w="1701" w:type="dxa"/>
            <w:tcBorders>
              <w:top w:val="single" w:sz="4" w:space="0" w:color="auto"/>
              <w:left w:val="nil"/>
              <w:bottom w:val="nil"/>
              <w:right w:val="nil"/>
            </w:tcBorders>
            <w:hideMark/>
          </w:tcPr>
          <w:p w14:paraId="4BFD6DA4" w14:textId="77777777" w:rsidR="00BE5A44" w:rsidRDefault="00BE5A44" w:rsidP="005E3A8C">
            <w:pPr>
              <w:spacing w:after="0" w:line="240" w:lineRule="auto"/>
              <w:rPr>
                <w:sz w:val="18"/>
                <w:szCs w:val="18"/>
              </w:rPr>
            </w:pPr>
            <w:r>
              <w:rPr>
                <w:sz w:val="18"/>
              </w:rPr>
              <w:t>Reference</w:t>
            </w:r>
          </w:p>
        </w:tc>
        <w:tc>
          <w:tcPr>
            <w:tcW w:w="2051" w:type="dxa"/>
            <w:tcBorders>
              <w:top w:val="single" w:sz="4" w:space="0" w:color="auto"/>
              <w:left w:val="nil"/>
              <w:bottom w:val="nil"/>
              <w:right w:val="nil"/>
            </w:tcBorders>
            <w:hideMark/>
          </w:tcPr>
          <w:p w14:paraId="54641853" w14:textId="77777777" w:rsidR="00BE5A44" w:rsidRDefault="00BE5A44" w:rsidP="005E3A8C">
            <w:pPr>
              <w:spacing w:after="0" w:line="240" w:lineRule="auto"/>
              <w:rPr>
                <w:sz w:val="18"/>
                <w:szCs w:val="18"/>
              </w:rPr>
            </w:pPr>
            <w:r>
              <w:rPr>
                <w:sz w:val="18"/>
              </w:rPr>
              <w:t>Reference</w:t>
            </w:r>
          </w:p>
        </w:tc>
      </w:tr>
      <w:tr w:rsidR="00BE5A44" w14:paraId="2E1E34C0" w14:textId="77777777" w:rsidTr="005E3A8C">
        <w:trPr>
          <w:trHeight w:val="166"/>
        </w:trPr>
        <w:tc>
          <w:tcPr>
            <w:tcW w:w="0" w:type="auto"/>
            <w:vMerge/>
            <w:tcBorders>
              <w:top w:val="single" w:sz="12" w:space="0" w:color="auto"/>
              <w:left w:val="nil"/>
              <w:bottom w:val="single" w:sz="4" w:space="0" w:color="auto"/>
              <w:right w:val="nil"/>
            </w:tcBorders>
            <w:vAlign w:val="center"/>
            <w:hideMark/>
          </w:tcPr>
          <w:p w14:paraId="45AC71C1" w14:textId="77777777" w:rsidR="00BE5A44" w:rsidRDefault="00BE5A44" w:rsidP="005E3A8C">
            <w:pPr>
              <w:spacing w:after="0" w:line="240" w:lineRule="auto"/>
              <w:rPr>
                <w:sz w:val="18"/>
              </w:rPr>
            </w:pPr>
          </w:p>
        </w:tc>
        <w:tc>
          <w:tcPr>
            <w:tcW w:w="0" w:type="auto"/>
            <w:vMerge/>
            <w:tcBorders>
              <w:top w:val="single" w:sz="4" w:space="0" w:color="auto"/>
              <w:left w:val="nil"/>
              <w:bottom w:val="nil"/>
              <w:right w:val="nil"/>
            </w:tcBorders>
            <w:vAlign w:val="center"/>
            <w:hideMark/>
          </w:tcPr>
          <w:p w14:paraId="0394D428" w14:textId="77777777" w:rsidR="00BE5A44" w:rsidRDefault="00BE5A44" w:rsidP="005E3A8C">
            <w:pPr>
              <w:spacing w:after="0" w:line="240" w:lineRule="auto"/>
              <w:rPr>
                <w:sz w:val="18"/>
                <w:szCs w:val="18"/>
              </w:rPr>
            </w:pPr>
          </w:p>
        </w:tc>
        <w:tc>
          <w:tcPr>
            <w:tcW w:w="2856" w:type="dxa"/>
            <w:tcBorders>
              <w:top w:val="nil"/>
              <w:left w:val="nil"/>
              <w:bottom w:val="nil"/>
              <w:right w:val="nil"/>
            </w:tcBorders>
            <w:hideMark/>
          </w:tcPr>
          <w:p w14:paraId="7F9BAA3D" w14:textId="77777777" w:rsidR="00BE5A44" w:rsidRDefault="00BE5A44" w:rsidP="005E3A8C">
            <w:pPr>
              <w:spacing w:after="0" w:line="240" w:lineRule="auto"/>
              <w:rPr>
                <w:sz w:val="18"/>
              </w:rPr>
            </w:pPr>
            <w:r>
              <w:rPr>
                <w:sz w:val="18"/>
              </w:rPr>
              <w:t>2</w:t>
            </w:r>
            <w:r>
              <w:rPr>
                <w:sz w:val="18"/>
                <w:vertAlign w:val="superscript"/>
              </w:rPr>
              <w:t>nd</w:t>
            </w:r>
            <w:r>
              <w:rPr>
                <w:sz w:val="18"/>
              </w:rPr>
              <w:t xml:space="preserve"> quartile</w:t>
            </w:r>
          </w:p>
        </w:tc>
        <w:tc>
          <w:tcPr>
            <w:tcW w:w="1985" w:type="dxa"/>
            <w:tcBorders>
              <w:top w:val="nil"/>
              <w:left w:val="nil"/>
              <w:bottom w:val="nil"/>
              <w:right w:val="nil"/>
            </w:tcBorders>
            <w:hideMark/>
          </w:tcPr>
          <w:p w14:paraId="11DEF0B5" w14:textId="77777777" w:rsidR="00BE5A44" w:rsidRDefault="00BE5A44" w:rsidP="005E3A8C">
            <w:pPr>
              <w:spacing w:after="0" w:line="240" w:lineRule="auto"/>
              <w:rPr>
                <w:sz w:val="18"/>
                <w:szCs w:val="18"/>
              </w:rPr>
            </w:pPr>
            <w:r>
              <w:rPr>
                <w:sz w:val="18"/>
                <w:szCs w:val="18"/>
              </w:rPr>
              <w:t>1.32 (1 to 1.75)</w:t>
            </w:r>
          </w:p>
        </w:tc>
        <w:tc>
          <w:tcPr>
            <w:tcW w:w="1984" w:type="dxa"/>
            <w:tcBorders>
              <w:top w:val="nil"/>
              <w:left w:val="nil"/>
              <w:bottom w:val="nil"/>
              <w:right w:val="nil"/>
            </w:tcBorders>
            <w:hideMark/>
          </w:tcPr>
          <w:p w14:paraId="30C4FDB0" w14:textId="77777777" w:rsidR="00BE5A44" w:rsidRDefault="00BE5A44" w:rsidP="005E3A8C">
            <w:pPr>
              <w:spacing w:after="0" w:line="240" w:lineRule="auto"/>
              <w:rPr>
                <w:sz w:val="18"/>
                <w:szCs w:val="18"/>
              </w:rPr>
            </w:pPr>
            <w:r>
              <w:rPr>
                <w:sz w:val="18"/>
                <w:szCs w:val="18"/>
              </w:rPr>
              <w:t>1.2 (0.8 to 1.81)</w:t>
            </w:r>
          </w:p>
        </w:tc>
        <w:tc>
          <w:tcPr>
            <w:tcW w:w="1701" w:type="dxa"/>
            <w:tcBorders>
              <w:top w:val="nil"/>
              <w:left w:val="nil"/>
              <w:bottom w:val="nil"/>
              <w:right w:val="nil"/>
            </w:tcBorders>
            <w:hideMark/>
          </w:tcPr>
          <w:p w14:paraId="104509AE" w14:textId="77777777" w:rsidR="00BE5A44" w:rsidRDefault="00BE5A44" w:rsidP="005E3A8C">
            <w:pPr>
              <w:spacing w:after="0" w:line="240" w:lineRule="auto"/>
              <w:rPr>
                <w:sz w:val="18"/>
                <w:szCs w:val="18"/>
              </w:rPr>
            </w:pPr>
            <w:r>
              <w:rPr>
                <w:sz w:val="18"/>
                <w:szCs w:val="18"/>
              </w:rPr>
              <w:t>3.11 (1.27 to 7.61)*</w:t>
            </w:r>
          </w:p>
        </w:tc>
        <w:tc>
          <w:tcPr>
            <w:tcW w:w="2051" w:type="dxa"/>
            <w:tcBorders>
              <w:top w:val="nil"/>
              <w:left w:val="nil"/>
              <w:bottom w:val="nil"/>
              <w:right w:val="nil"/>
            </w:tcBorders>
            <w:hideMark/>
          </w:tcPr>
          <w:p w14:paraId="4391094A" w14:textId="77777777" w:rsidR="00BE5A44" w:rsidRDefault="00BE5A44" w:rsidP="005E3A8C">
            <w:pPr>
              <w:spacing w:after="0" w:line="240" w:lineRule="auto"/>
              <w:rPr>
                <w:sz w:val="18"/>
                <w:szCs w:val="18"/>
              </w:rPr>
            </w:pPr>
            <w:r>
              <w:rPr>
                <w:sz w:val="18"/>
                <w:szCs w:val="18"/>
              </w:rPr>
              <w:t>1.01 (0.48 to 2.17)</w:t>
            </w:r>
          </w:p>
        </w:tc>
      </w:tr>
      <w:tr w:rsidR="00BE5A44" w14:paraId="4A98D1C5" w14:textId="77777777" w:rsidTr="005E3A8C">
        <w:trPr>
          <w:trHeight w:val="166"/>
        </w:trPr>
        <w:tc>
          <w:tcPr>
            <w:tcW w:w="0" w:type="auto"/>
            <w:vMerge/>
            <w:tcBorders>
              <w:top w:val="single" w:sz="12" w:space="0" w:color="auto"/>
              <w:left w:val="nil"/>
              <w:bottom w:val="single" w:sz="4" w:space="0" w:color="auto"/>
              <w:right w:val="nil"/>
            </w:tcBorders>
            <w:vAlign w:val="center"/>
            <w:hideMark/>
          </w:tcPr>
          <w:p w14:paraId="57DA6D8F" w14:textId="77777777" w:rsidR="00BE5A44" w:rsidRDefault="00BE5A44" w:rsidP="005E3A8C">
            <w:pPr>
              <w:spacing w:after="0" w:line="240" w:lineRule="auto"/>
              <w:rPr>
                <w:sz w:val="18"/>
              </w:rPr>
            </w:pPr>
          </w:p>
        </w:tc>
        <w:tc>
          <w:tcPr>
            <w:tcW w:w="0" w:type="auto"/>
            <w:vMerge/>
            <w:tcBorders>
              <w:top w:val="single" w:sz="4" w:space="0" w:color="auto"/>
              <w:left w:val="nil"/>
              <w:bottom w:val="nil"/>
              <w:right w:val="nil"/>
            </w:tcBorders>
            <w:vAlign w:val="center"/>
            <w:hideMark/>
          </w:tcPr>
          <w:p w14:paraId="71A9EF8C" w14:textId="77777777" w:rsidR="00BE5A44" w:rsidRDefault="00BE5A44" w:rsidP="005E3A8C">
            <w:pPr>
              <w:spacing w:after="0" w:line="240" w:lineRule="auto"/>
              <w:rPr>
                <w:sz w:val="18"/>
                <w:szCs w:val="18"/>
              </w:rPr>
            </w:pPr>
          </w:p>
        </w:tc>
        <w:tc>
          <w:tcPr>
            <w:tcW w:w="2856" w:type="dxa"/>
            <w:tcBorders>
              <w:top w:val="nil"/>
              <w:left w:val="nil"/>
              <w:bottom w:val="nil"/>
              <w:right w:val="nil"/>
            </w:tcBorders>
            <w:hideMark/>
          </w:tcPr>
          <w:p w14:paraId="1F57BD94" w14:textId="77777777" w:rsidR="00BE5A44" w:rsidRDefault="00BE5A44" w:rsidP="005E3A8C">
            <w:pPr>
              <w:spacing w:after="0" w:line="240" w:lineRule="auto"/>
              <w:rPr>
                <w:sz w:val="18"/>
                <w:szCs w:val="18"/>
              </w:rPr>
            </w:pPr>
            <w:r>
              <w:rPr>
                <w:sz w:val="18"/>
              </w:rPr>
              <w:t>3</w:t>
            </w:r>
            <w:r>
              <w:rPr>
                <w:sz w:val="18"/>
                <w:vertAlign w:val="superscript"/>
              </w:rPr>
              <w:t>rd</w:t>
            </w:r>
            <w:r>
              <w:rPr>
                <w:sz w:val="18"/>
              </w:rPr>
              <w:t xml:space="preserve"> quartile</w:t>
            </w:r>
          </w:p>
        </w:tc>
        <w:tc>
          <w:tcPr>
            <w:tcW w:w="1985" w:type="dxa"/>
            <w:tcBorders>
              <w:top w:val="nil"/>
              <w:left w:val="nil"/>
              <w:bottom w:val="nil"/>
              <w:right w:val="nil"/>
            </w:tcBorders>
            <w:hideMark/>
          </w:tcPr>
          <w:p w14:paraId="0410AA04" w14:textId="77777777" w:rsidR="00BE5A44" w:rsidRDefault="00BE5A44" w:rsidP="005E3A8C">
            <w:pPr>
              <w:spacing w:after="0" w:line="240" w:lineRule="auto"/>
              <w:rPr>
                <w:sz w:val="18"/>
                <w:szCs w:val="18"/>
              </w:rPr>
            </w:pPr>
            <w:r>
              <w:rPr>
                <w:sz w:val="18"/>
                <w:szCs w:val="18"/>
              </w:rPr>
              <w:t>1.17 (0.88 to 1.55)</w:t>
            </w:r>
          </w:p>
        </w:tc>
        <w:tc>
          <w:tcPr>
            <w:tcW w:w="1984" w:type="dxa"/>
            <w:tcBorders>
              <w:top w:val="nil"/>
              <w:left w:val="nil"/>
              <w:bottom w:val="nil"/>
              <w:right w:val="nil"/>
            </w:tcBorders>
            <w:hideMark/>
          </w:tcPr>
          <w:p w14:paraId="0E57075D" w14:textId="77777777" w:rsidR="00BE5A44" w:rsidRDefault="00BE5A44" w:rsidP="005E3A8C">
            <w:pPr>
              <w:spacing w:after="0" w:line="240" w:lineRule="auto"/>
              <w:rPr>
                <w:sz w:val="18"/>
                <w:szCs w:val="18"/>
              </w:rPr>
            </w:pPr>
            <w:r>
              <w:rPr>
                <w:sz w:val="18"/>
                <w:szCs w:val="18"/>
              </w:rPr>
              <w:t>1.26 (0.84 to 1.89)</w:t>
            </w:r>
          </w:p>
        </w:tc>
        <w:tc>
          <w:tcPr>
            <w:tcW w:w="1701" w:type="dxa"/>
            <w:tcBorders>
              <w:top w:val="nil"/>
              <w:left w:val="nil"/>
              <w:bottom w:val="nil"/>
              <w:right w:val="nil"/>
            </w:tcBorders>
            <w:hideMark/>
          </w:tcPr>
          <w:p w14:paraId="3BC23F32" w14:textId="77777777" w:rsidR="00BE5A44" w:rsidRDefault="00BE5A44" w:rsidP="005E3A8C">
            <w:pPr>
              <w:spacing w:after="0" w:line="240" w:lineRule="auto"/>
              <w:rPr>
                <w:sz w:val="18"/>
                <w:szCs w:val="18"/>
              </w:rPr>
            </w:pPr>
            <w:r>
              <w:rPr>
                <w:sz w:val="18"/>
                <w:szCs w:val="18"/>
              </w:rPr>
              <w:t>1.68 (0.65 to 4.29)</w:t>
            </w:r>
          </w:p>
        </w:tc>
        <w:tc>
          <w:tcPr>
            <w:tcW w:w="2051" w:type="dxa"/>
            <w:tcBorders>
              <w:top w:val="nil"/>
              <w:left w:val="nil"/>
              <w:bottom w:val="nil"/>
              <w:right w:val="nil"/>
            </w:tcBorders>
            <w:hideMark/>
          </w:tcPr>
          <w:p w14:paraId="25FF34C9" w14:textId="77777777" w:rsidR="00BE5A44" w:rsidRDefault="00BE5A44" w:rsidP="005E3A8C">
            <w:pPr>
              <w:spacing w:after="0" w:line="240" w:lineRule="auto"/>
              <w:rPr>
                <w:sz w:val="18"/>
                <w:szCs w:val="18"/>
              </w:rPr>
            </w:pPr>
            <w:r>
              <w:rPr>
                <w:sz w:val="18"/>
                <w:szCs w:val="18"/>
              </w:rPr>
              <w:t>1.1 (0.52 to 2.33)</w:t>
            </w:r>
          </w:p>
        </w:tc>
      </w:tr>
      <w:tr w:rsidR="00BE5A44" w14:paraId="294E70B5" w14:textId="77777777" w:rsidTr="005E3A8C">
        <w:trPr>
          <w:trHeight w:val="166"/>
        </w:trPr>
        <w:tc>
          <w:tcPr>
            <w:tcW w:w="0" w:type="auto"/>
            <w:vMerge/>
            <w:tcBorders>
              <w:top w:val="single" w:sz="12" w:space="0" w:color="auto"/>
              <w:left w:val="nil"/>
              <w:bottom w:val="single" w:sz="4" w:space="0" w:color="auto"/>
              <w:right w:val="nil"/>
            </w:tcBorders>
            <w:vAlign w:val="center"/>
            <w:hideMark/>
          </w:tcPr>
          <w:p w14:paraId="63B448BB" w14:textId="77777777" w:rsidR="00BE5A44" w:rsidRDefault="00BE5A44" w:rsidP="005E3A8C">
            <w:pPr>
              <w:spacing w:after="0" w:line="240" w:lineRule="auto"/>
              <w:rPr>
                <w:sz w:val="18"/>
              </w:rPr>
            </w:pPr>
          </w:p>
        </w:tc>
        <w:tc>
          <w:tcPr>
            <w:tcW w:w="0" w:type="auto"/>
            <w:vMerge/>
            <w:tcBorders>
              <w:top w:val="single" w:sz="4" w:space="0" w:color="auto"/>
              <w:left w:val="nil"/>
              <w:bottom w:val="nil"/>
              <w:right w:val="nil"/>
            </w:tcBorders>
            <w:vAlign w:val="center"/>
            <w:hideMark/>
          </w:tcPr>
          <w:p w14:paraId="165729CB" w14:textId="77777777" w:rsidR="00BE5A44" w:rsidRDefault="00BE5A44" w:rsidP="005E3A8C">
            <w:pPr>
              <w:spacing w:after="0" w:line="240" w:lineRule="auto"/>
              <w:rPr>
                <w:sz w:val="18"/>
                <w:szCs w:val="18"/>
              </w:rPr>
            </w:pPr>
          </w:p>
        </w:tc>
        <w:tc>
          <w:tcPr>
            <w:tcW w:w="2856" w:type="dxa"/>
            <w:tcBorders>
              <w:top w:val="nil"/>
              <w:left w:val="nil"/>
              <w:bottom w:val="nil"/>
              <w:right w:val="nil"/>
            </w:tcBorders>
            <w:hideMark/>
          </w:tcPr>
          <w:p w14:paraId="28EB0DE4" w14:textId="77777777" w:rsidR="00BE5A44" w:rsidRDefault="00BE5A44" w:rsidP="005E3A8C">
            <w:pPr>
              <w:spacing w:after="0" w:line="240" w:lineRule="auto"/>
              <w:rPr>
                <w:sz w:val="18"/>
              </w:rPr>
            </w:pPr>
            <w:r>
              <w:rPr>
                <w:sz w:val="18"/>
              </w:rPr>
              <w:t>4</w:t>
            </w:r>
            <w:r>
              <w:rPr>
                <w:sz w:val="18"/>
                <w:vertAlign w:val="superscript"/>
              </w:rPr>
              <w:t>th</w:t>
            </w:r>
            <w:r>
              <w:rPr>
                <w:sz w:val="18"/>
              </w:rPr>
              <w:t xml:space="preserve"> quartile (most deprived)</w:t>
            </w:r>
          </w:p>
        </w:tc>
        <w:tc>
          <w:tcPr>
            <w:tcW w:w="1985" w:type="dxa"/>
            <w:tcBorders>
              <w:top w:val="nil"/>
              <w:left w:val="nil"/>
              <w:bottom w:val="nil"/>
              <w:right w:val="nil"/>
            </w:tcBorders>
            <w:hideMark/>
          </w:tcPr>
          <w:p w14:paraId="5C809FB2" w14:textId="77777777" w:rsidR="00BE5A44" w:rsidRDefault="00BE5A44" w:rsidP="005E3A8C">
            <w:pPr>
              <w:spacing w:after="0" w:line="240" w:lineRule="auto"/>
              <w:rPr>
                <w:sz w:val="18"/>
                <w:szCs w:val="18"/>
              </w:rPr>
            </w:pPr>
            <w:r>
              <w:rPr>
                <w:sz w:val="18"/>
                <w:szCs w:val="18"/>
              </w:rPr>
              <w:t>1.41 (1.06 to 1.87)*</w:t>
            </w:r>
          </w:p>
        </w:tc>
        <w:tc>
          <w:tcPr>
            <w:tcW w:w="1984" w:type="dxa"/>
            <w:tcBorders>
              <w:top w:val="nil"/>
              <w:left w:val="nil"/>
              <w:bottom w:val="nil"/>
              <w:right w:val="nil"/>
            </w:tcBorders>
            <w:hideMark/>
          </w:tcPr>
          <w:p w14:paraId="4D7B4E86" w14:textId="77777777" w:rsidR="00BE5A44" w:rsidRDefault="00BE5A44" w:rsidP="005E3A8C">
            <w:pPr>
              <w:spacing w:after="0" w:line="240" w:lineRule="auto"/>
              <w:rPr>
                <w:sz w:val="18"/>
                <w:szCs w:val="18"/>
              </w:rPr>
            </w:pPr>
            <w:r>
              <w:rPr>
                <w:sz w:val="18"/>
                <w:szCs w:val="18"/>
              </w:rPr>
              <w:t>1.78 (1.2 to 2.62)*</w:t>
            </w:r>
          </w:p>
        </w:tc>
        <w:tc>
          <w:tcPr>
            <w:tcW w:w="1701" w:type="dxa"/>
            <w:tcBorders>
              <w:top w:val="nil"/>
              <w:left w:val="nil"/>
              <w:bottom w:val="nil"/>
              <w:right w:val="nil"/>
            </w:tcBorders>
            <w:hideMark/>
          </w:tcPr>
          <w:p w14:paraId="0E8042E0" w14:textId="77777777" w:rsidR="00BE5A44" w:rsidRDefault="00BE5A44" w:rsidP="005E3A8C">
            <w:pPr>
              <w:spacing w:after="0" w:line="240" w:lineRule="auto"/>
              <w:rPr>
                <w:sz w:val="18"/>
                <w:szCs w:val="18"/>
              </w:rPr>
            </w:pPr>
            <w:r>
              <w:rPr>
                <w:sz w:val="18"/>
                <w:szCs w:val="18"/>
              </w:rPr>
              <w:t>1.78 (0.7 to 4.52)</w:t>
            </w:r>
          </w:p>
        </w:tc>
        <w:tc>
          <w:tcPr>
            <w:tcW w:w="2051" w:type="dxa"/>
            <w:tcBorders>
              <w:top w:val="nil"/>
              <w:left w:val="nil"/>
              <w:bottom w:val="nil"/>
              <w:right w:val="nil"/>
            </w:tcBorders>
            <w:hideMark/>
          </w:tcPr>
          <w:p w14:paraId="699236D5" w14:textId="77777777" w:rsidR="00BE5A44" w:rsidRDefault="00BE5A44" w:rsidP="005E3A8C">
            <w:pPr>
              <w:spacing w:after="0" w:line="240" w:lineRule="auto"/>
              <w:rPr>
                <w:sz w:val="18"/>
                <w:szCs w:val="18"/>
              </w:rPr>
            </w:pPr>
            <w:r>
              <w:rPr>
                <w:sz w:val="18"/>
                <w:szCs w:val="18"/>
              </w:rPr>
              <w:t>1.03 (0.49 to 2.13)</w:t>
            </w:r>
          </w:p>
        </w:tc>
      </w:tr>
      <w:tr w:rsidR="00BE5A44" w14:paraId="4041CC98" w14:textId="77777777" w:rsidTr="005E3A8C">
        <w:trPr>
          <w:trHeight w:val="166"/>
        </w:trPr>
        <w:tc>
          <w:tcPr>
            <w:tcW w:w="0" w:type="auto"/>
            <w:vMerge/>
            <w:tcBorders>
              <w:top w:val="single" w:sz="12" w:space="0" w:color="auto"/>
              <w:left w:val="nil"/>
              <w:bottom w:val="single" w:sz="4" w:space="0" w:color="auto"/>
              <w:right w:val="nil"/>
            </w:tcBorders>
            <w:vAlign w:val="center"/>
            <w:hideMark/>
          </w:tcPr>
          <w:p w14:paraId="414695BD"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tcPr>
          <w:p w14:paraId="4BEB4029" w14:textId="77777777" w:rsidR="00BE5A44" w:rsidRDefault="00BE5A44" w:rsidP="005E3A8C">
            <w:pPr>
              <w:spacing w:after="0" w:line="240" w:lineRule="auto"/>
              <w:rPr>
                <w:sz w:val="18"/>
              </w:rPr>
            </w:pPr>
            <w:r>
              <w:rPr>
                <w:sz w:val="18"/>
              </w:rPr>
              <w:t>Ethnicity</w:t>
            </w:r>
          </w:p>
          <w:p w14:paraId="1B095032" w14:textId="77777777" w:rsidR="00BE5A44" w:rsidRDefault="00BE5A44" w:rsidP="005E3A8C">
            <w:pPr>
              <w:spacing w:after="0" w:line="240" w:lineRule="auto"/>
              <w:rPr>
                <w:sz w:val="18"/>
              </w:rPr>
            </w:pPr>
          </w:p>
        </w:tc>
        <w:tc>
          <w:tcPr>
            <w:tcW w:w="2856" w:type="dxa"/>
            <w:tcBorders>
              <w:top w:val="single" w:sz="4" w:space="0" w:color="auto"/>
              <w:left w:val="nil"/>
              <w:bottom w:val="nil"/>
              <w:right w:val="nil"/>
            </w:tcBorders>
            <w:hideMark/>
          </w:tcPr>
          <w:p w14:paraId="4F5645D6" w14:textId="77777777" w:rsidR="00BE5A44" w:rsidRDefault="00BE5A44" w:rsidP="005E3A8C">
            <w:pPr>
              <w:spacing w:after="0" w:line="240" w:lineRule="auto"/>
              <w:rPr>
                <w:sz w:val="18"/>
              </w:rPr>
            </w:pPr>
            <w:r>
              <w:rPr>
                <w:sz w:val="18"/>
              </w:rPr>
              <w:t>White</w:t>
            </w:r>
          </w:p>
        </w:tc>
        <w:tc>
          <w:tcPr>
            <w:tcW w:w="1985" w:type="dxa"/>
            <w:tcBorders>
              <w:top w:val="single" w:sz="4" w:space="0" w:color="auto"/>
              <w:left w:val="nil"/>
              <w:bottom w:val="nil"/>
              <w:right w:val="nil"/>
            </w:tcBorders>
            <w:hideMark/>
          </w:tcPr>
          <w:p w14:paraId="3BC1FB02"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1BC75485"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49022F28"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73D7FE40" w14:textId="77777777" w:rsidR="00BE5A44" w:rsidRDefault="00BE5A44" w:rsidP="005E3A8C">
            <w:pPr>
              <w:spacing w:after="0" w:line="240" w:lineRule="auto"/>
              <w:rPr>
                <w:sz w:val="18"/>
              </w:rPr>
            </w:pPr>
            <w:r>
              <w:rPr>
                <w:sz w:val="18"/>
              </w:rPr>
              <w:t>Reference</w:t>
            </w:r>
          </w:p>
        </w:tc>
      </w:tr>
      <w:tr w:rsidR="00BE5A44" w14:paraId="2A0B7349" w14:textId="77777777" w:rsidTr="005E3A8C">
        <w:trPr>
          <w:trHeight w:val="166"/>
        </w:trPr>
        <w:tc>
          <w:tcPr>
            <w:tcW w:w="0" w:type="auto"/>
            <w:vMerge/>
            <w:tcBorders>
              <w:top w:val="single" w:sz="12" w:space="0" w:color="auto"/>
              <w:left w:val="nil"/>
              <w:bottom w:val="single" w:sz="4" w:space="0" w:color="auto"/>
              <w:right w:val="nil"/>
            </w:tcBorders>
            <w:vAlign w:val="center"/>
            <w:hideMark/>
          </w:tcPr>
          <w:p w14:paraId="3752BA10"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7BB8BF4A" w14:textId="77777777" w:rsidR="00BE5A44" w:rsidRDefault="00BE5A44" w:rsidP="005E3A8C">
            <w:pPr>
              <w:spacing w:after="0" w:line="240" w:lineRule="auto"/>
              <w:rPr>
                <w:sz w:val="18"/>
              </w:rPr>
            </w:pPr>
          </w:p>
        </w:tc>
        <w:tc>
          <w:tcPr>
            <w:tcW w:w="2856" w:type="dxa"/>
            <w:tcBorders>
              <w:top w:val="nil"/>
              <w:left w:val="nil"/>
              <w:bottom w:val="nil"/>
              <w:right w:val="nil"/>
            </w:tcBorders>
            <w:hideMark/>
          </w:tcPr>
          <w:p w14:paraId="798F8505" w14:textId="77777777" w:rsidR="00BE5A44" w:rsidRDefault="00BE5A44" w:rsidP="005E3A8C">
            <w:pPr>
              <w:spacing w:after="0" w:line="240" w:lineRule="auto"/>
              <w:rPr>
                <w:sz w:val="18"/>
              </w:rPr>
            </w:pPr>
            <w:r>
              <w:rPr>
                <w:sz w:val="18"/>
              </w:rPr>
              <w:t xml:space="preserve">Black and Minority </w:t>
            </w:r>
          </w:p>
        </w:tc>
        <w:tc>
          <w:tcPr>
            <w:tcW w:w="1985" w:type="dxa"/>
            <w:tcBorders>
              <w:top w:val="nil"/>
              <w:left w:val="nil"/>
              <w:bottom w:val="nil"/>
              <w:right w:val="nil"/>
            </w:tcBorders>
            <w:hideMark/>
          </w:tcPr>
          <w:p w14:paraId="11EF1CDC" w14:textId="77777777" w:rsidR="00BE5A44" w:rsidRDefault="00BE5A44" w:rsidP="005E3A8C">
            <w:pPr>
              <w:spacing w:after="0" w:line="240" w:lineRule="auto"/>
              <w:rPr>
                <w:sz w:val="18"/>
              </w:rPr>
            </w:pPr>
            <w:r>
              <w:rPr>
                <w:sz w:val="18"/>
              </w:rPr>
              <w:t>0.83 (0.58 to 1.19)</w:t>
            </w:r>
          </w:p>
        </w:tc>
        <w:tc>
          <w:tcPr>
            <w:tcW w:w="1984" w:type="dxa"/>
            <w:tcBorders>
              <w:top w:val="nil"/>
              <w:left w:val="nil"/>
              <w:bottom w:val="nil"/>
              <w:right w:val="nil"/>
            </w:tcBorders>
            <w:hideMark/>
          </w:tcPr>
          <w:p w14:paraId="1D32EA22" w14:textId="77777777" w:rsidR="00BE5A44" w:rsidRDefault="00BE5A44" w:rsidP="005E3A8C">
            <w:pPr>
              <w:spacing w:after="0" w:line="240" w:lineRule="auto"/>
              <w:rPr>
                <w:sz w:val="18"/>
              </w:rPr>
            </w:pPr>
            <w:r>
              <w:rPr>
                <w:sz w:val="18"/>
              </w:rPr>
              <w:t>1.08 (0.69 to 1.68)</w:t>
            </w:r>
          </w:p>
        </w:tc>
        <w:tc>
          <w:tcPr>
            <w:tcW w:w="1701" w:type="dxa"/>
            <w:tcBorders>
              <w:top w:val="nil"/>
              <w:left w:val="nil"/>
              <w:bottom w:val="nil"/>
              <w:right w:val="nil"/>
            </w:tcBorders>
            <w:hideMark/>
          </w:tcPr>
          <w:p w14:paraId="454CD565" w14:textId="77777777" w:rsidR="00BE5A44" w:rsidRDefault="00BE5A44" w:rsidP="005E3A8C">
            <w:pPr>
              <w:spacing w:after="0" w:line="240" w:lineRule="auto"/>
              <w:rPr>
                <w:sz w:val="18"/>
              </w:rPr>
            </w:pPr>
            <w:r>
              <w:rPr>
                <w:sz w:val="18"/>
              </w:rPr>
              <w:t>2.89 (1.26 to 6.64)*</w:t>
            </w:r>
          </w:p>
        </w:tc>
        <w:tc>
          <w:tcPr>
            <w:tcW w:w="2051" w:type="dxa"/>
            <w:tcBorders>
              <w:top w:val="nil"/>
              <w:left w:val="nil"/>
              <w:bottom w:val="nil"/>
              <w:right w:val="nil"/>
            </w:tcBorders>
            <w:hideMark/>
          </w:tcPr>
          <w:p w14:paraId="2FA362A0" w14:textId="77777777" w:rsidR="00BE5A44" w:rsidRDefault="00BE5A44" w:rsidP="005E3A8C">
            <w:pPr>
              <w:spacing w:after="0" w:line="240" w:lineRule="auto"/>
              <w:rPr>
                <w:sz w:val="18"/>
              </w:rPr>
            </w:pPr>
            <w:r>
              <w:rPr>
                <w:sz w:val="18"/>
              </w:rPr>
              <w:t>0.48 (0.19 to 1.21)</w:t>
            </w:r>
          </w:p>
        </w:tc>
      </w:tr>
      <w:tr w:rsidR="00BE5A44" w14:paraId="69A61068" w14:textId="77777777" w:rsidTr="005E3A8C">
        <w:trPr>
          <w:trHeight w:val="166"/>
        </w:trPr>
        <w:tc>
          <w:tcPr>
            <w:tcW w:w="0" w:type="auto"/>
            <w:vMerge/>
            <w:tcBorders>
              <w:top w:val="single" w:sz="12" w:space="0" w:color="auto"/>
              <w:left w:val="nil"/>
              <w:bottom w:val="single" w:sz="4" w:space="0" w:color="auto"/>
              <w:right w:val="nil"/>
            </w:tcBorders>
            <w:vAlign w:val="center"/>
            <w:hideMark/>
          </w:tcPr>
          <w:p w14:paraId="14528539"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3CCD9D0C" w14:textId="77777777" w:rsidR="00BE5A44" w:rsidRDefault="00BE5A44" w:rsidP="005E3A8C">
            <w:pPr>
              <w:spacing w:after="0" w:line="240" w:lineRule="auto"/>
              <w:rPr>
                <w:sz w:val="18"/>
                <w:szCs w:val="18"/>
              </w:rPr>
            </w:pPr>
            <w:r>
              <w:rPr>
                <w:sz w:val="18"/>
              </w:rPr>
              <w:t>Highest educational or professional qualification</w:t>
            </w:r>
          </w:p>
        </w:tc>
        <w:tc>
          <w:tcPr>
            <w:tcW w:w="2856" w:type="dxa"/>
            <w:tcBorders>
              <w:top w:val="single" w:sz="4" w:space="0" w:color="auto"/>
              <w:left w:val="nil"/>
              <w:bottom w:val="nil"/>
              <w:right w:val="nil"/>
            </w:tcBorders>
            <w:hideMark/>
          </w:tcPr>
          <w:p w14:paraId="370E97D2" w14:textId="77777777" w:rsidR="00BE5A44" w:rsidRDefault="00BE5A44" w:rsidP="005E3A8C">
            <w:pPr>
              <w:spacing w:after="0" w:line="240" w:lineRule="auto"/>
              <w:rPr>
                <w:sz w:val="18"/>
                <w:szCs w:val="18"/>
              </w:rPr>
            </w:pPr>
            <w:r>
              <w:rPr>
                <w:sz w:val="18"/>
              </w:rPr>
              <w:t>GCSE/vocational/A-level/No formal qualifications</w:t>
            </w:r>
          </w:p>
        </w:tc>
        <w:tc>
          <w:tcPr>
            <w:tcW w:w="1985" w:type="dxa"/>
            <w:tcBorders>
              <w:top w:val="single" w:sz="4" w:space="0" w:color="auto"/>
              <w:left w:val="nil"/>
              <w:bottom w:val="nil"/>
              <w:right w:val="nil"/>
            </w:tcBorders>
            <w:hideMark/>
          </w:tcPr>
          <w:p w14:paraId="45E3318C" w14:textId="77777777" w:rsidR="00BE5A44" w:rsidRDefault="00BE5A44" w:rsidP="005E3A8C">
            <w:pPr>
              <w:spacing w:after="0" w:line="240" w:lineRule="auto"/>
              <w:rPr>
                <w:sz w:val="18"/>
                <w:szCs w:val="18"/>
              </w:rPr>
            </w:pPr>
            <w:r>
              <w:rPr>
                <w:sz w:val="18"/>
              </w:rPr>
              <w:t>Reference</w:t>
            </w:r>
          </w:p>
        </w:tc>
        <w:tc>
          <w:tcPr>
            <w:tcW w:w="1984" w:type="dxa"/>
            <w:tcBorders>
              <w:top w:val="single" w:sz="4" w:space="0" w:color="auto"/>
              <w:left w:val="nil"/>
              <w:bottom w:val="nil"/>
              <w:right w:val="nil"/>
            </w:tcBorders>
            <w:hideMark/>
          </w:tcPr>
          <w:p w14:paraId="37F0B508" w14:textId="77777777" w:rsidR="00BE5A44" w:rsidRDefault="00BE5A44" w:rsidP="005E3A8C">
            <w:pPr>
              <w:spacing w:after="0" w:line="240" w:lineRule="auto"/>
              <w:rPr>
                <w:sz w:val="18"/>
                <w:szCs w:val="18"/>
              </w:rPr>
            </w:pPr>
            <w:r>
              <w:rPr>
                <w:sz w:val="18"/>
              </w:rPr>
              <w:t>Reference</w:t>
            </w:r>
          </w:p>
        </w:tc>
        <w:tc>
          <w:tcPr>
            <w:tcW w:w="1701" w:type="dxa"/>
            <w:tcBorders>
              <w:top w:val="single" w:sz="4" w:space="0" w:color="auto"/>
              <w:left w:val="nil"/>
              <w:bottom w:val="nil"/>
              <w:right w:val="nil"/>
            </w:tcBorders>
            <w:hideMark/>
          </w:tcPr>
          <w:p w14:paraId="285DC056" w14:textId="77777777" w:rsidR="00BE5A44" w:rsidRDefault="00BE5A44" w:rsidP="005E3A8C">
            <w:pPr>
              <w:spacing w:after="0" w:line="240" w:lineRule="auto"/>
              <w:rPr>
                <w:sz w:val="18"/>
                <w:szCs w:val="18"/>
              </w:rPr>
            </w:pPr>
            <w:r>
              <w:rPr>
                <w:sz w:val="18"/>
              </w:rPr>
              <w:t>Reference</w:t>
            </w:r>
          </w:p>
        </w:tc>
        <w:tc>
          <w:tcPr>
            <w:tcW w:w="2051" w:type="dxa"/>
            <w:tcBorders>
              <w:top w:val="single" w:sz="4" w:space="0" w:color="auto"/>
              <w:left w:val="nil"/>
              <w:bottom w:val="nil"/>
              <w:right w:val="nil"/>
            </w:tcBorders>
            <w:hideMark/>
          </w:tcPr>
          <w:p w14:paraId="2FA86136" w14:textId="77777777" w:rsidR="00BE5A44" w:rsidRDefault="00BE5A44" w:rsidP="005E3A8C">
            <w:pPr>
              <w:spacing w:after="0" w:line="240" w:lineRule="auto"/>
              <w:rPr>
                <w:sz w:val="18"/>
                <w:szCs w:val="18"/>
              </w:rPr>
            </w:pPr>
            <w:r>
              <w:rPr>
                <w:sz w:val="18"/>
              </w:rPr>
              <w:t>Reference</w:t>
            </w:r>
          </w:p>
        </w:tc>
      </w:tr>
      <w:tr w:rsidR="00BE5A44" w14:paraId="3EE9BF14" w14:textId="77777777" w:rsidTr="005E3A8C">
        <w:trPr>
          <w:trHeight w:val="144"/>
        </w:trPr>
        <w:tc>
          <w:tcPr>
            <w:tcW w:w="0" w:type="auto"/>
            <w:vMerge/>
            <w:tcBorders>
              <w:top w:val="single" w:sz="12" w:space="0" w:color="auto"/>
              <w:left w:val="nil"/>
              <w:bottom w:val="single" w:sz="4" w:space="0" w:color="auto"/>
              <w:right w:val="nil"/>
            </w:tcBorders>
            <w:vAlign w:val="center"/>
            <w:hideMark/>
          </w:tcPr>
          <w:p w14:paraId="22D0640A"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2F9A8995" w14:textId="77777777" w:rsidR="00BE5A44" w:rsidRDefault="00BE5A44" w:rsidP="005E3A8C">
            <w:pPr>
              <w:spacing w:after="0" w:line="240" w:lineRule="auto"/>
              <w:rPr>
                <w:sz w:val="18"/>
                <w:szCs w:val="18"/>
              </w:rPr>
            </w:pPr>
          </w:p>
        </w:tc>
        <w:tc>
          <w:tcPr>
            <w:tcW w:w="2856" w:type="dxa"/>
            <w:tcBorders>
              <w:top w:val="nil"/>
              <w:left w:val="nil"/>
              <w:bottom w:val="single" w:sz="4" w:space="0" w:color="auto"/>
              <w:right w:val="nil"/>
            </w:tcBorders>
            <w:hideMark/>
          </w:tcPr>
          <w:p w14:paraId="569CEA93" w14:textId="77777777" w:rsidR="00BE5A44" w:rsidRDefault="00BE5A44" w:rsidP="005E3A8C">
            <w:pPr>
              <w:spacing w:after="0" w:line="240" w:lineRule="auto"/>
              <w:rPr>
                <w:sz w:val="18"/>
                <w:szCs w:val="18"/>
              </w:rPr>
            </w:pPr>
            <w:r>
              <w:rPr>
                <w:sz w:val="18"/>
              </w:rPr>
              <w:t>Degree or higher (Bachelors, Masters, PhD)</w:t>
            </w:r>
          </w:p>
        </w:tc>
        <w:tc>
          <w:tcPr>
            <w:tcW w:w="1985" w:type="dxa"/>
            <w:tcBorders>
              <w:top w:val="nil"/>
              <w:left w:val="nil"/>
              <w:bottom w:val="single" w:sz="4" w:space="0" w:color="auto"/>
              <w:right w:val="nil"/>
            </w:tcBorders>
            <w:hideMark/>
          </w:tcPr>
          <w:p w14:paraId="5CDFF440" w14:textId="77777777" w:rsidR="00BE5A44" w:rsidRDefault="00BE5A44" w:rsidP="005E3A8C">
            <w:pPr>
              <w:spacing w:after="0" w:line="240" w:lineRule="auto"/>
              <w:rPr>
                <w:sz w:val="18"/>
                <w:szCs w:val="18"/>
              </w:rPr>
            </w:pPr>
            <w:r>
              <w:rPr>
                <w:sz w:val="18"/>
                <w:szCs w:val="18"/>
              </w:rPr>
              <w:t>1.05 (0.86 to 1.29)</w:t>
            </w:r>
          </w:p>
        </w:tc>
        <w:tc>
          <w:tcPr>
            <w:tcW w:w="1984" w:type="dxa"/>
            <w:tcBorders>
              <w:top w:val="nil"/>
              <w:left w:val="nil"/>
              <w:bottom w:val="single" w:sz="4" w:space="0" w:color="auto"/>
              <w:right w:val="nil"/>
            </w:tcBorders>
            <w:hideMark/>
          </w:tcPr>
          <w:p w14:paraId="16AA15D7" w14:textId="77777777" w:rsidR="00BE5A44" w:rsidRDefault="00BE5A44" w:rsidP="005E3A8C">
            <w:pPr>
              <w:spacing w:after="0" w:line="240" w:lineRule="auto"/>
              <w:rPr>
                <w:sz w:val="18"/>
                <w:szCs w:val="18"/>
              </w:rPr>
            </w:pPr>
            <w:r>
              <w:rPr>
                <w:sz w:val="18"/>
                <w:szCs w:val="18"/>
              </w:rPr>
              <w:t>1.03 (0.79 to 1.36)</w:t>
            </w:r>
          </w:p>
        </w:tc>
        <w:tc>
          <w:tcPr>
            <w:tcW w:w="1701" w:type="dxa"/>
            <w:tcBorders>
              <w:top w:val="nil"/>
              <w:left w:val="nil"/>
              <w:bottom w:val="single" w:sz="4" w:space="0" w:color="auto"/>
              <w:right w:val="nil"/>
            </w:tcBorders>
            <w:hideMark/>
          </w:tcPr>
          <w:p w14:paraId="1614A3BD" w14:textId="77777777" w:rsidR="00BE5A44" w:rsidRDefault="00BE5A44" w:rsidP="005E3A8C">
            <w:pPr>
              <w:spacing w:after="0" w:line="240" w:lineRule="auto"/>
              <w:rPr>
                <w:sz w:val="18"/>
                <w:szCs w:val="18"/>
              </w:rPr>
            </w:pPr>
            <w:r>
              <w:rPr>
                <w:sz w:val="18"/>
                <w:szCs w:val="18"/>
              </w:rPr>
              <w:t>1.05 (0.6 to 1.85)</w:t>
            </w:r>
          </w:p>
        </w:tc>
        <w:tc>
          <w:tcPr>
            <w:tcW w:w="2051" w:type="dxa"/>
            <w:tcBorders>
              <w:top w:val="nil"/>
              <w:left w:val="nil"/>
              <w:bottom w:val="single" w:sz="4" w:space="0" w:color="auto"/>
              <w:right w:val="nil"/>
            </w:tcBorders>
            <w:hideMark/>
          </w:tcPr>
          <w:p w14:paraId="30DA39D7" w14:textId="77777777" w:rsidR="00BE5A44" w:rsidRDefault="00BE5A44" w:rsidP="005E3A8C">
            <w:pPr>
              <w:spacing w:after="0" w:line="240" w:lineRule="auto"/>
              <w:rPr>
                <w:sz w:val="18"/>
                <w:szCs w:val="18"/>
              </w:rPr>
            </w:pPr>
            <w:r>
              <w:rPr>
                <w:sz w:val="18"/>
                <w:szCs w:val="18"/>
              </w:rPr>
              <w:t>0.99 (0.59 to 1.65)</w:t>
            </w:r>
          </w:p>
        </w:tc>
      </w:tr>
      <w:tr w:rsidR="00BE5A44" w14:paraId="38F4D1EC" w14:textId="77777777" w:rsidTr="005E3A8C">
        <w:trPr>
          <w:trHeight w:val="144"/>
        </w:trPr>
        <w:tc>
          <w:tcPr>
            <w:tcW w:w="0" w:type="auto"/>
            <w:vMerge/>
            <w:tcBorders>
              <w:top w:val="single" w:sz="12" w:space="0" w:color="auto"/>
              <w:left w:val="nil"/>
              <w:bottom w:val="single" w:sz="4" w:space="0" w:color="auto"/>
              <w:right w:val="nil"/>
            </w:tcBorders>
            <w:vAlign w:val="center"/>
            <w:hideMark/>
          </w:tcPr>
          <w:p w14:paraId="2854312B"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40EEFC5D" w14:textId="77777777" w:rsidR="00BE5A44" w:rsidRDefault="00BE5A44" w:rsidP="005E3A8C">
            <w:pPr>
              <w:spacing w:after="0" w:line="240" w:lineRule="auto"/>
              <w:rPr>
                <w:sz w:val="18"/>
                <w:szCs w:val="18"/>
              </w:rPr>
            </w:pPr>
            <w:r>
              <w:rPr>
                <w:sz w:val="18"/>
                <w:szCs w:val="18"/>
              </w:rPr>
              <w:t>Ever had coronavirus</w:t>
            </w:r>
          </w:p>
        </w:tc>
        <w:tc>
          <w:tcPr>
            <w:tcW w:w="2856" w:type="dxa"/>
            <w:tcBorders>
              <w:top w:val="nil"/>
              <w:left w:val="nil"/>
              <w:bottom w:val="single" w:sz="4" w:space="0" w:color="auto"/>
              <w:right w:val="nil"/>
            </w:tcBorders>
            <w:hideMark/>
          </w:tcPr>
          <w:p w14:paraId="2B54490A" w14:textId="77777777" w:rsidR="00BE5A44" w:rsidRDefault="00BE5A44" w:rsidP="005E3A8C">
            <w:pPr>
              <w:spacing w:after="0" w:line="240" w:lineRule="auto"/>
              <w:rPr>
                <w:sz w:val="18"/>
              </w:rPr>
            </w:pPr>
            <w:r>
              <w:rPr>
                <w:sz w:val="18"/>
              </w:rPr>
              <w:t>Don’t know or think have not</w:t>
            </w:r>
          </w:p>
        </w:tc>
        <w:tc>
          <w:tcPr>
            <w:tcW w:w="1985" w:type="dxa"/>
            <w:tcBorders>
              <w:top w:val="nil"/>
              <w:left w:val="nil"/>
              <w:bottom w:val="single" w:sz="4" w:space="0" w:color="auto"/>
              <w:right w:val="nil"/>
            </w:tcBorders>
            <w:hideMark/>
          </w:tcPr>
          <w:p w14:paraId="5B82C286" w14:textId="77777777" w:rsidR="00BE5A44" w:rsidRDefault="00BE5A44" w:rsidP="005E3A8C">
            <w:pPr>
              <w:spacing w:after="0" w:line="240" w:lineRule="auto"/>
              <w:rPr>
                <w:sz w:val="18"/>
                <w:szCs w:val="18"/>
              </w:rPr>
            </w:pPr>
            <w:r>
              <w:rPr>
                <w:sz w:val="18"/>
              </w:rPr>
              <w:t>Reference</w:t>
            </w:r>
          </w:p>
        </w:tc>
        <w:tc>
          <w:tcPr>
            <w:tcW w:w="1984" w:type="dxa"/>
            <w:tcBorders>
              <w:top w:val="nil"/>
              <w:left w:val="nil"/>
              <w:bottom w:val="single" w:sz="4" w:space="0" w:color="auto"/>
              <w:right w:val="nil"/>
            </w:tcBorders>
            <w:hideMark/>
          </w:tcPr>
          <w:p w14:paraId="426D69DE" w14:textId="77777777" w:rsidR="00BE5A44" w:rsidRDefault="00BE5A44" w:rsidP="005E3A8C">
            <w:pPr>
              <w:spacing w:after="0" w:line="240" w:lineRule="auto"/>
              <w:rPr>
                <w:sz w:val="18"/>
                <w:szCs w:val="18"/>
              </w:rPr>
            </w:pPr>
            <w:r>
              <w:rPr>
                <w:sz w:val="18"/>
              </w:rPr>
              <w:t>Reference</w:t>
            </w:r>
          </w:p>
        </w:tc>
        <w:tc>
          <w:tcPr>
            <w:tcW w:w="1701" w:type="dxa"/>
            <w:tcBorders>
              <w:top w:val="nil"/>
              <w:left w:val="nil"/>
              <w:bottom w:val="single" w:sz="4" w:space="0" w:color="auto"/>
              <w:right w:val="nil"/>
            </w:tcBorders>
            <w:hideMark/>
          </w:tcPr>
          <w:p w14:paraId="7A8345A8" w14:textId="77777777" w:rsidR="00BE5A44" w:rsidRDefault="00BE5A44" w:rsidP="005E3A8C">
            <w:pPr>
              <w:spacing w:after="0" w:line="240" w:lineRule="auto"/>
              <w:rPr>
                <w:sz w:val="18"/>
                <w:szCs w:val="18"/>
              </w:rPr>
            </w:pPr>
            <w:r>
              <w:rPr>
                <w:sz w:val="18"/>
              </w:rPr>
              <w:t>Reference</w:t>
            </w:r>
          </w:p>
        </w:tc>
        <w:tc>
          <w:tcPr>
            <w:tcW w:w="2051" w:type="dxa"/>
            <w:tcBorders>
              <w:top w:val="nil"/>
              <w:left w:val="nil"/>
              <w:bottom w:val="single" w:sz="4" w:space="0" w:color="auto"/>
              <w:right w:val="nil"/>
            </w:tcBorders>
            <w:hideMark/>
          </w:tcPr>
          <w:p w14:paraId="19144056" w14:textId="77777777" w:rsidR="00BE5A44" w:rsidRDefault="00BE5A44" w:rsidP="005E3A8C">
            <w:pPr>
              <w:spacing w:after="0" w:line="240" w:lineRule="auto"/>
              <w:rPr>
                <w:sz w:val="18"/>
                <w:szCs w:val="18"/>
              </w:rPr>
            </w:pPr>
            <w:r>
              <w:rPr>
                <w:sz w:val="18"/>
              </w:rPr>
              <w:t>Reference</w:t>
            </w:r>
          </w:p>
        </w:tc>
      </w:tr>
      <w:tr w:rsidR="00BE5A44" w14:paraId="024E2E1E" w14:textId="77777777" w:rsidTr="005E3A8C">
        <w:trPr>
          <w:trHeight w:val="144"/>
        </w:trPr>
        <w:tc>
          <w:tcPr>
            <w:tcW w:w="0" w:type="auto"/>
            <w:vMerge/>
            <w:tcBorders>
              <w:top w:val="single" w:sz="12" w:space="0" w:color="auto"/>
              <w:left w:val="nil"/>
              <w:bottom w:val="single" w:sz="4" w:space="0" w:color="auto"/>
              <w:right w:val="nil"/>
            </w:tcBorders>
            <w:vAlign w:val="center"/>
            <w:hideMark/>
          </w:tcPr>
          <w:p w14:paraId="23262ACB"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0A448258" w14:textId="77777777" w:rsidR="00BE5A44" w:rsidRDefault="00BE5A44" w:rsidP="005E3A8C">
            <w:pPr>
              <w:spacing w:after="0" w:line="240" w:lineRule="auto"/>
              <w:rPr>
                <w:sz w:val="18"/>
                <w:szCs w:val="18"/>
              </w:rPr>
            </w:pPr>
          </w:p>
        </w:tc>
        <w:tc>
          <w:tcPr>
            <w:tcW w:w="2856" w:type="dxa"/>
            <w:tcBorders>
              <w:top w:val="nil"/>
              <w:left w:val="nil"/>
              <w:bottom w:val="single" w:sz="4" w:space="0" w:color="auto"/>
              <w:right w:val="nil"/>
            </w:tcBorders>
            <w:hideMark/>
          </w:tcPr>
          <w:p w14:paraId="01492039" w14:textId="77777777" w:rsidR="00BE5A44" w:rsidRDefault="00BE5A44" w:rsidP="005E3A8C">
            <w:pPr>
              <w:spacing w:after="0" w:line="240" w:lineRule="auto"/>
              <w:rPr>
                <w:sz w:val="18"/>
              </w:rPr>
            </w:pPr>
            <w:r>
              <w:rPr>
                <w:sz w:val="18"/>
              </w:rPr>
              <w:t>Think have, or have had it confirmed</w:t>
            </w:r>
          </w:p>
        </w:tc>
        <w:tc>
          <w:tcPr>
            <w:tcW w:w="1985" w:type="dxa"/>
            <w:tcBorders>
              <w:top w:val="nil"/>
              <w:left w:val="nil"/>
              <w:bottom w:val="single" w:sz="4" w:space="0" w:color="auto"/>
              <w:right w:val="nil"/>
            </w:tcBorders>
            <w:hideMark/>
          </w:tcPr>
          <w:p w14:paraId="6D65CB4C" w14:textId="77777777" w:rsidR="00BE5A44" w:rsidRDefault="00BE5A44" w:rsidP="005E3A8C">
            <w:pPr>
              <w:spacing w:after="0" w:line="240" w:lineRule="auto"/>
              <w:rPr>
                <w:sz w:val="18"/>
                <w:szCs w:val="18"/>
              </w:rPr>
            </w:pPr>
            <w:r>
              <w:rPr>
                <w:sz w:val="18"/>
                <w:szCs w:val="18"/>
              </w:rPr>
              <w:t>0.97 (0.7 to 1.33)</w:t>
            </w:r>
          </w:p>
        </w:tc>
        <w:tc>
          <w:tcPr>
            <w:tcW w:w="1984" w:type="dxa"/>
            <w:tcBorders>
              <w:top w:val="nil"/>
              <w:left w:val="nil"/>
              <w:bottom w:val="single" w:sz="4" w:space="0" w:color="auto"/>
              <w:right w:val="nil"/>
            </w:tcBorders>
            <w:hideMark/>
          </w:tcPr>
          <w:p w14:paraId="75352356" w14:textId="77777777" w:rsidR="00BE5A44" w:rsidRDefault="00BE5A44" w:rsidP="005E3A8C">
            <w:pPr>
              <w:spacing w:after="0" w:line="240" w:lineRule="auto"/>
              <w:rPr>
                <w:sz w:val="18"/>
                <w:szCs w:val="18"/>
              </w:rPr>
            </w:pPr>
            <w:r>
              <w:rPr>
                <w:sz w:val="18"/>
                <w:szCs w:val="18"/>
              </w:rPr>
              <w:t>1.53 (1.05 to 2.23)*</w:t>
            </w:r>
          </w:p>
        </w:tc>
        <w:tc>
          <w:tcPr>
            <w:tcW w:w="1701" w:type="dxa"/>
            <w:tcBorders>
              <w:top w:val="nil"/>
              <w:left w:val="nil"/>
              <w:bottom w:val="single" w:sz="4" w:space="0" w:color="auto"/>
              <w:right w:val="nil"/>
            </w:tcBorders>
            <w:hideMark/>
          </w:tcPr>
          <w:p w14:paraId="129981DF" w14:textId="77777777" w:rsidR="00BE5A44" w:rsidRDefault="00BE5A44" w:rsidP="005E3A8C">
            <w:pPr>
              <w:spacing w:after="0" w:line="240" w:lineRule="auto"/>
              <w:rPr>
                <w:sz w:val="18"/>
                <w:szCs w:val="18"/>
              </w:rPr>
            </w:pPr>
            <w:r>
              <w:rPr>
                <w:sz w:val="18"/>
                <w:szCs w:val="18"/>
              </w:rPr>
              <w:t>1.34 (0.59 to 3.30)</w:t>
            </w:r>
          </w:p>
        </w:tc>
        <w:tc>
          <w:tcPr>
            <w:tcW w:w="2051" w:type="dxa"/>
            <w:tcBorders>
              <w:top w:val="nil"/>
              <w:left w:val="nil"/>
              <w:bottom w:val="single" w:sz="4" w:space="0" w:color="auto"/>
              <w:right w:val="nil"/>
            </w:tcBorders>
            <w:hideMark/>
          </w:tcPr>
          <w:p w14:paraId="26180395" w14:textId="77777777" w:rsidR="00BE5A44" w:rsidRDefault="00BE5A44" w:rsidP="005E3A8C">
            <w:pPr>
              <w:spacing w:after="0" w:line="240" w:lineRule="auto"/>
              <w:rPr>
                <w:sz w:val="18"/>
                <w:szCs w:val="18"/>
              </w:rPr>
            </w:pPr>
            <w:r>
              <w:rPr>
                <w:sz w:val="18"/>
                <w:szCs w:val="18"/>
              </w:rPr>
              <w:t>3.25 (1.84 to 5.76)*</w:t>
            </w:r>
          </w:p>
        </w:tc>
      </w:tr>
      <w:tr w:rsidR="00BE5A44" w14:paraId="6E18BF34" w14:textId="77777777" w:rsidTr="005E3A8C">
        <w:trPr>
          <w:trHeight w:val="171"/>
        </w:trPr>
        <w:tc>
          <w:tcPr>
            <w:tcW w:w="0" w:type="auto"/>
            <w:vMerge w:val="restart"/>
            <w:tcBorders>
              <w:top w:val="single" w:sz="12" w:space="0" w:color="auto"/>
              <w:left w:val="nil"/>
              <w:bottom w:val="single" w:sz="4" w:space="0" w:color="auto"/>
              <w:right w:val="nil"/>
            </w:tcBorders>
            <w:hideMark/>
          </w:tcPr>
          <w:p w14:paraId="0C4BF737" w14:textId="77777777" w:rsidR="00BE5A44" w:rsidRDefault="00BE5A44" w:rsidP="005E3A8C">
            <w:pPr>
              <w:spacing w:after="0" w:line="240" w:lineRule="auto"/>
              <w:rPr>
                <w:sz w:val="18"/>
              </w:rPr>
            </w:pPr>
            <w:r>
              <w:rPr>
                <w:sz w:val="18"/>
              </w:rPr>
              <w:t>Employment characteristics</w:t>
            </w:r>
          </w:p>
        </w:tc>
        <w:tc>
          <w:tcPr>
            <w:tcW w:w="0" w:type="auto"/>
            <w:vMerge w:val="restart"/>
            <w:tcBorders>
              <w:top w:val="single" w:sz="12" w:space="0" w:color="auto"/>
              <w:left w:val="nil"/>
              <w:bottom w:val="single" w:sz="4" w:space="0" w:color="auto"/>
              <w:right w:val="nil"/>
            </w:tcBorders>
            <w:hideMark/>
          </w:tcPr>
          <w:p w14:paraId="5957A2F1" w14:textId="77777777" w:rsidR="00BE5A44" w:rsidRDefault="00BE5A44" w:rsidP="005E3A8C">
            <w:pPr>
              <w:spacing w:after="0" w:line="240" w:lineRule="auto"/>
              <w:rPr>
                <w:sz w:val="18"/>
              </w:rPr>
            </w:pPr>
            <w:r>
              <w:rPr>
                <w:sz w:val="18"/>
              </w:rPr>
              <w:t>Employment type‡</w:t>
            </w:r>
          </w:p>
        </w:tc>
        <w:tc>
          <w:tcPr>
            <w:tcW w:w="2856" w:type="dxa"/>
            <w:tcBorders>
              <w:top w:val="single" w:sz="12" w:space="0" w:color="auto"/>
              <w:left w:val="nil"/>
              <w:bottom w:val="nil"/>
              <w:right w:val="nil"/>
            </w:tcBorders>
            <w:hideMark/>
          </w:tcPr>
          <w:p w14:paraId="1212DD99" w14:textId="77777777" w:rsidR="00BE5A44" w:rsidRDefault="00BE5A44" w:rsidP="005E3A8C">
            <w:pPr>
              <w:spacing w:after="0" w:line="240" w:lineRule="auto"/>
              <w:rPr>
                <w:sz w:val="18"/>
              </w:rPr>
            </w:pPr>
            <w:r>
              <w:rPr>
                <w:sz w:val="18"/>
                <w:szCs w:val="18"/>
              </w:rPr>
              <w:t>Permanent job</w:t>
            </w:r>
          </w:p>
        </w:tc>
        <w:tc>
          <w:tcPr>
            <w:tcW w:w="1985" w:type="dxa"/>
            <w:tcBorders>
              <w:top w:val="single" w:sz="12" w:space="0" w:color="auto"/>
              <w:left w:val="nil"/>
              <w:bottom w:val="nil"/>
              <w:right w:val="nil"/>
            </w:tcBorders>
            <w:hideMark/>
          </w:tcPr>
          <w:p w14:paraId="78CBE9E8" w14:textId="77777777" w:rsidR="00BE5A44" w:rsidRDefault="00BE5A44" w:rsidP="005E3A8C">
            <w:pPr>
              <w:spacing w:after="0" w:line="240" w:lineRule="auto"/>
              <w:rPr>
                <w:sz w:val="18"/>
              </w:rPr>
            </w:pPr>
            <w:r>
              <w:rPr>
                <w:sz w:val="18"/>
              </w:rPr>
              <w:t>Reference</w:t>
            </w:r>
          </w:p>
        </w:tc>
        <w:tc>
          <w:tcPr>
            <w:tcW w:w="1984" w:type="dxa"/>
            <w:tcBorders>
              <w:top w:val="single" w:sz="12" w:space="0" w:color="auto"/>
              <w:left w:val="nil"/>
              <w:bottom w:val="nil"/>
              <w:right w:val="nil"/>
            </w:tcBorders>
            <w:hideMark/>
          </w:tcPr>
          <w:p w14:paraId="41D95361" w14:textId="77777777" w:rsidR="00BE5A44" w:rsidRDefault="00BE5A44" w:rsidP="005E3A8C">
            <w:pPr>
              <w:spacing w:after="0" w:line="240" w:lineRule="auto"/>
              <w:rPr>
                <w:sz w:val="18"/>
              </w:rPr>
            </w:pPr>
            <w:r>
              <w:rPr>
                <w:sz w:val="18"/>
              </w:rPr>
              <w:t>Reference</w:t>
            </w:r>
          </w:p>
        </w:tc>
        <w:tc>
          <w:tcPr>
            <w:tcW w:w="1701" w:type="dxa"/>
            <w:tcBorders>
              <w:top w:val="single" w:sz="12" w:space="0" w:color="auto"/>
              <w:left w:val="nil"/>
              <w:bottom w:val="nil"/>
              <w:right w:val="nil"/>
            </w:tcBorders>
            <w:hideMark/>
          </w:tcPr>
          <w:p w14:paraId="496091DF" w14:textId="77777777" w:rsidR="00BE5A44" w:rsidRDefault="00BE5A44" w:rsidP="005E3A8C">
            <w:pPr>
              <w:spacing w:after="0" w:line="240" w:lineRule="auto"/>
              <w:rPr>
                <w:sz w:val="18"/>
              </w:rPr>
            </w:pPr>
            <w:r>
              <w:rPr>
                <w:sz w:val="18"/>
              </w:rPr>
              <w:t>Reference</w:t>
            </w:r>
          </w:p>
        </w:tc>
        <w:tc>
          <w:tcPr>
            <w:tcW w:w="2051" w:type="dxa"/>
            <w:tcBorders>
              <w:top w:val="single" w:sz="12" w:space="0" w:color="auto"/>
              <w:left w:val="nil"/>
              <w:bottom w:val="nil"/>
              <w:right w:val="nil"/>
            </w:tcBorders>
            <w:hideMark/>
          </w:tcPr>
          <w:p w14:paraId="18C8E57E" w14:textId="77777777" w:rsidR="00BE5A44" w:rsidRDefault="00BE5A44" w:rsidP="005E3A8C">
            <w:pPr>
              <w:spacing w:after="0" w:line="240" w:lineRule="auto"/>
              <w:rPr>
                <w:sz w:val="18"/>
              </w:rPr>
            </w:pPr>
            <w:r>
              <w:rPr>
                <w:sz w:val="18"/>
              </w:rPr>
              <w:t>Reference</w:t>
            </w:r>
          </w:p>
        </w:tc>
      </w:tr>
      <w:tr w:rsidR="00BE5A44" w14:paraId="4D0911AE" w14:textId="77777777" w:rsidTr="005E3A8C">
        <w:trPr>
          <w:trHeight w:val="171"/>
        </w:trPr>
        <w:tc>
          <w:tcPr>
            <w:tcW w:w="0" w:type="auto"/>
            <w:vMerge/>
            <w:tcBorders>
              <w:top w:val="single" w:sz="12" w:space="0" w:color="auto"/>
              <w:left w:val="nil"/>
              <w:bottom w:val="single" w:sz="4" w:space="0" w:color="auto"/>
              <w:right w:val="nil"/>
            </w:tcBorders>
            <w:vAlign w:val="center"/>
            <w:hideMark/>
          </w:tcPr>
          <w:p w14:paraId="466C2314" w14:textId="77777777" w:rsidR="00BE5A44" w:rsidRDefault="00BE5A44" w:rsidP="005E3A8C">
            <w:pPr>
              <w:spacing w:after="0" w:line="240" w:lineRule="auto"/>
              <w:rPr>
                <w:sz w:val="18"/>
              </w:rPr>
            </w:pPr>
          </w:p>
        </w:tc>
        <w:tc>
          <w:tcPr>
            <w:tcW w:w="0" w:type="auto"/>
            <w:vMerge/>
            <w:tcBorders>
              <w:top w:val="single" w:sz="12" w:space="0" w:color="auto"/>
              <w:left w:val="nil"/>
              <w:bottom w:val="single" w:sz="4" w:space="0" w:color="auto"/>
              <w:right w:val="nil"/>
            </w:tcBorders>
            <w:vAlign w:val="center"/>
            <w:hideMark/>
          </w:tcPr>
          <w:p w14:paraId="3D8A9367" w14:textId="77777777" w:rsidR="00BE5A44" w:rsidRDefault="00BE5A44" w:rsidP="005E3A8C">
            <w:pPr>
              <w:spacing w:after="0" w:line="240" w:lineRule="auto"/>
              <w:rPr>
                <w:sz w:val="18"/>
              </w:rPr>
            </w:pPr>
          </w:p>
        </w:tc>
        <w:tc>
          <w:tcPr>
            <w:tcW w:w="2856" w:type="dxa"/>
            <w:tcBorders>
              <w:top w:val="nil"/>
              <w:left w:val="nil"/>
              <w:bottom w:val="single" w:sz="4" w:space="0" w:color="auto"/>
              <w:right w:val="nil"/>
            </w:tcBorders>
            <w:hideMark/>
          </w:tcPr>
          <w:p w14:paraId="0845A7CB" w14:textId="77777777" w:rsidR="00BE5A44" w:rsidRDefault="00BE5A44" w:rsidP="005E3A8C">
            <w:pPr>
              <w:spacing w:after="0" w:line="240" w:lineRule="auto"/>
              <w:rPr>
                <w:sz w:val="18"/>
              </w:rPr>
            </w:pPr>
            <w:r>
              <w:rPr>
                <w:sz w:val="18"/>
                <w:szCs w:val="18"/>
              </w:rPr>
              <w:t>Other</w:t>
            </w:r>
          </w:p>
        </w:tc>
        <w:tc>
          <w:tcPr>
            <w:tcW w:w="1985" w:type="dxa"/>
            <w:tcBorders>
              <w:top w:val="nil"/>
              <w:left w:val="nil"/>
              <w:bottom w:val="single" w:sz="4" w:space="0" w:color="auto"/>
              <w:right w:val="nil"/>
            </w:tcBorders>
            <w:hideMark/>
          </w:tcPr>
          <w:p w14:paraId="7342D442" w14:textId="77777777" w:rsidR="00BE5A44" w:rsidRDefault="00BE5A44" w:rsidP="005E3A8C">
            <w:pPr>
              <w:spacing w:after="0" w:line="240" w:lineRule="auto"/>
              <w:rPr>
                <w:sz w:val="18"/>
              </w:rPr>
            </w:pPr>
            <w:r>
              <w:rPr>
                <w:sz w:val="18"/>
              </w:rPr>
              <w:t>1.02 (0.71 to 1.47)</w:t>
            </w:r>
          </w:p>
        </w:tc>
        <w:tc>
          <w:tcPr>
            <w:tcW w:w="1984" w:type="dxa"/>
            <w:tcBorders>
              <w:top w:val="nil"/>
              <w:left w:val="nil"/>
              <w:bottom w:val="single" w:sz="4" w:space="0" w:color="auto"/>
              <w:right w:val="nil"/>
            </w:tcBorders>
            <w:hideMark/>
          </w:tcPr>
          <w:p w14:paraId="65D5ED0C" w14:textId="77777777" w:rsidR="00BE5A44" w:rsidRDefault="00BE5A44" w:rsidP="005E3A8C">
            <w:pPr>
              <w:spacing w:after="0" w:line="240" w:lineRule="auto"/>
              <w:rPr>
                <w:sz w:val="18"/>
              </w:rPr>
            </w:pPr>
            <w:r>
              <w:rPr>
                <w:sz w:val="18"/>
              </w:rPr>
              <w:t>1.67 (1.08 to 2.59)*</w:t>
            </w:r>
          </w:p>
        </w:tc>
        <w:tc>
          <w:tcPr>
            <w:tcW w:w="1701" w:type="dxa"/>
            <w:tcBorders>
              <w:top w:val="nil"/>
              <w:left w:val="nil"/>
              <w:bottom w:val="single" w:sz="4" w:space="0" w:color="auto"/>
              <w:right w:val="nil"/>
            </w:tcBorders>
            <w:hideMark/>
          </w:tcPr>
          <w:p w14:paraId="5AF3D5FA" w14:textId="77777777" w:rsidR="00BE5A44" w:rsidRDefault="00BE5A44" w:rsidP="005E3A8C">
            <w:pPr>
              <w:spacing w:after="0" w:line="240" w:lineRule="auto"/>
              <w:rPr>
                <w:sz w:val="18"/>
              </w:rPr>
            </w:pPr>
            <w:r>
              <w:rPr>
                <w:sz w:val="18"/>
              </w:rPr>
              <w:t>1.02 (0.48 to 2.19)</w:t>
            </w:r>
          </w:p>
        </w:tc>
        <w:tc>
          <w:tcPr>
            <w:tcW w:w="2051" w:type="dxa"/>
            <w:tcBorders>
              <w:top w:val="nil"/>
              <w:left w:val="nil"/>
              <w:bottom w:val="single" w:sz="4" w:space="0" w:color="auto"/>
              <w:right w:val="nil"/>
            </w:tcBorders>
            <w:hideMark/>
          </w:tcPr>
          <w:p w14:paraId="5764B1E2" w14:textId="77777777" w:rsidR="00BE5A44" w:rsidRDefault="00BE5A44" w:rsidP="005E3A8C">
            <w:pPr>
              <w:spacing w:after="0" w:line="240" w:lineRule="auto"/>
              <w:rPr>
                <w:sz w:val="18"/>
              </w:rPr>
            </w:pPr>
            <w:r>
              <w:rPr>
                <w:sz w:val="18"/>
              </w:rPr>
              <w:t>2.52 (1.21 to 5.26)*</w:t>
            </w:r>
          </w:p>
        </w:tc>
      </w:tr>
      <w:tr w:rsidR="00BE5A44" w14:paraId="605AB4EF" w14:textId="77777777" w:rsidTr="005E3A8C">
        <w:trPr>
          <w:trHeight w:val="171"/>
        </w:trPr>
        <w:tc>
          <w:tcPr>
            <w:tcW w:w="0" w:type="auto"/>
            <w:vMerge/>
            <w:tcBorders>
              <w:top w:val="single" w:sz="12" w:space="0" w:color="auto"/>
              <w:left w:val="nil"/>
              <w:bottom w:val="single" w:sz="4" w:space="0" w:color="auto"/>
              <w:right w:val="nil"/>
            </w:tcBorders>
            <w:vAlign w:val="center"/>
            <w:hideMark/>
          </w:tcPr>
          <w:p w14:paraId="6FF80D3C"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1A20AC83" w14:textId="77777777" w:rsidR="00BE5A44" w:rsidRDefault="00BE5A44" w:rsidP="005E3A8C">
            <w:pPr>
              <w:spacing w:after="0" w:line="240" w:lineRule="auto"/>
              <w:rPr>
                <w:sz w:val="18"/>
              </w:rPr>
            </w:pPr>
            <w:r>
              <w:rPr>
                <w:sz w:val="18"/>
              </w:rPr>
              <w:t>Self-employed‡</w:t>
            </w:r>
          </w:p>
        </w:tc>
        <w:tc>
          <w:tcPr>
            <w:tcW w:w="2856" w:type="dxa"/>
            <w:tcBorders>
              <w:top w:val="single" w:sz="4" w:space="0" w:color="auto"/>
              <w:left w:val="nil"/>
              <w:bottom w:val="nil"/>
              <w:right w:val="nil"/>
            </w:tcBorders>
            <w:hideMark/>
          </w:tcPr>
          <w:p w14:paraId="7286DEDA" w14:textId="77777777" w:rsidR="00BE5A44" w:rsidRDefault="00BE5A44" w:rsidP="005E3A8C">
            <w:pPr>
              <w:spacing w:after="0" w:line="240" w:lineRule="auto"/>
              <w:rPr>
                <w:sz w:val="18"/>
              </w:rPr>
            </w:pPr>
            <w:r>
              <w:rPr>
                <w:sz w:val="18"/>
                <w:szCs w:val="18"/>
              </w:rPr>
              <w:t>No</w:t>
            </w:r>
          </w:p>
        </w:tc>
        <w:tc>
          <w:tcPr>
            <w:tcW w:w="1985" w:type="dxa"/>
            <w:tcBorders>
              <w:top w:val="single" w:sz="4" w:space="0" w:color="auto"/>
              <w:left w:val="nil"/>
              <w:bottom w:val="nil"/>
              <w:right w:val="nil"/>
            </w:tcBorders>
            <w:hideMark/>
          </w:tcPr>
          <w:p w14:paraId="3B20330D"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5D535C40"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6206FDFB"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414A7441" w14:textId="77777777" w:rsidR="00BE5A44" w:rsidRDefault="00BE5A44" w:rsidP="005E3A8C">
            <w:pPr>
              <w:spacing w:after="0" w:line="240" w:lineRule="auto"/>
              <w:rPr>
                <w:sz w:val="18"/>
              </w:rPr>
            </w:pPr>
            <w:r>
              <w:rPr>
                <w:sz w:val="18"/>
              </w:rPr>
              <w:t>Reference</w:t>
            </w:r>
          </w:p>
        </w:tc>
      </w:tr>
      <w:tr w:rsidR="00BE5A44" w14:paraId="050C2FB6" w14:textId="77777777" w:rsidTr="005E3A8C">
        <w:trPr>
          <w:trHeight w:val="171"/>
        </w:trPr>
        <w:tc>
          <w:tcPr>
            <w:tcW w:w="0" w:type="auto"/>
            <w:vMerge/>
            <w:tcBorders>
              <w:top w:val="single" w:sz="12" w:space="0" w:color="auto"/>
              <w:left w:val="nil"/>
              <w:bottom w:val="single" w:sz="4" w:space="0" w:color="auto"/>
              <w:right w:val="nil"/>
            </w:tcBorders>
            <w:vAlign w:val="center"/>
            <w:hideMark/>
          </w:tcPr>
          <w:p w14:paraId="12DC0E11"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1F146277" w14:textId="77777777" w:rsidR="00BE5A44" w:rsidRDefault="00BE5A44" w:rsidP="005E3A8C">
            <w:pPr>
              <w:spacing w:after="0" w:line="240" w:lineRule="auto"/>
              <w:rPr>
                <w:sz w:val="18"/>
              </w:rPr>
            </w:pPr>
          </w:p>
        </w:tc>
        <w:tc>
          <w:tcPr>
            <w:tcW w:w="2856" w:type="dxa"/>
            <w:tcBorders>
              <w:top w:val="nil"/>
              <w:left w:val="nil"/>
              <w:bottom w:val="single" w:sz="4" w:space="0" w:color="auto"/>
              <w:right w:val="nil"/>
            </w:tcBorders>
            <w:hideMark/>
          </w:tcPr>
          <w:p w14:paraId="6C124339" w14:textId="77777777" w:rsidR="00BE5A44" w:rsidRDefault="00BE5A44" w:rsidP="005E3A8C">
            <w:pPr>
              <w:spacing w:after="0" w:line="240" w:lineRule="auto"/>
              <w:rPr>
                <w:sz w:val="18"/>
              </w:rPr>
            </w:pPr>
            <w:r>
              <w:rPr>
                <w:sz w:val="18"/>
              </w:rPr>
              <w:t>Yes</w:t>
            </w:r>
          </w:p>
        </w:tc>
        <w:tc>
          <w:tcPr>
            <w:tcW w:w="1985" w:type="dxa"/>
            <w:tcBorders>
              <w:top w:val="nil"/>
              <w:left w:val="nil"/>
              <w:bottom w:val="single" w:sz="4" w:space="0" w:color="auto"/>
              <w:right w:val="nil"/>
            </w:tcBorders>
            <w:hideMark/>
          </w:tcPr>
          <w:p w14:paraId="13A9D34D" w14:textId="77777777" w:rsidR="00BE5A44" w:rsidRDefault="00BE5A44" w:rsidP="005E3A8C">
            <w:pPr>
              <w:spacing w:after="0" w:line="240" w:lineRule="auto"/>
              <w:rPr>
                <w:sz w:val="18"/>
              </w:rPr>
            </w:pPr>
            <w:r>
              <w:rPr>
                <w:sz w:val="18"/>
              </w:rPr>
              <w:t>1.13 (0.72 to 1.80)</w:t>
            </w:r>
          </w:p>
        </w:tc>
        <w:tc>
          <w:tcPr>
            <w:tcW w:w="1984" w:type="dxa"/>
            <w:tcBorders>
              <w:top w:val="nil"/>
              <w:left w:val="nil"/>
              <w:bottom w:val="single" w:sz="4" w:space="0" w:color="auto"/>
              <w:right w:val="nil"/>
            </w:tcBorders>
            <w:hideMark/>
          </w:tcPr>
          <w:p w14:paraId="751BF288" w14:textId="77777777" w:rsidR="00BE5A44" w:rsidRDefault="00BE5A44" w:rsidP="005E3A8C">
            <w:pPr>
              <w:spacing w:after="0" w:line="240" w:lineRule="auto"/>
              <w:rPr>
                <w:sz w:val="18"/>
              </w:rPr>
            </w:pPr>
            <w:r>
              <w:rPr>
                <w:sz w:val="18"/>
              </w:rPr>
              <w:t>1.26 (0.70 to 2.27)</w:t>
            </w:r>
          </w:p>
        </w:tc>
        <w:tc>
          <w:tcPr>
            <w:tcW w:w="1701" w:type="dxa"/>
            <w:tcBorders>
              <w:top w:val="nil"/>
              <w:left w:val="nil"/>
              <w:bottom w:val="single" w:sz="4" w:space="0" w:color="auto"/>
              <w:right w:val="nil"/>
            </w:tcBorders>
            <w:hideMark/>
          </w:tcPr>
          <w:p w14:paraId="4C344923" w14:textId="77777777" w:rsidR="00BE5A44" w:rsidRDefault="00BE5A44" w:rsidP="005E3A8C">
            <w:pPr>
              <w:spacing w:after="0" w:line="240" w:lineRule="auto"/>
              <w:rPr>
                <w:sz w:val="18"/>
              </w:rPr>
            </w:pPr>
            <w:r>
              <w:rPr>
                <w:sz w:val="18"/>
              </w:rPr>
              <w:t>0.98 (0.39 to 2.46)</w:t>
            </w:r>
          </w:p>
        </w:tc>
        <w:tc>
          <w:tcPr>
            <w:tcW w:w="2051" w:type="dxa"/>
            <w:tcBorders>
              <w:top w:val="nil"/>
              <w:left w:val="nil"/>
              <w:bottom w:val="single" w:sz="4" w:space="0" w:color="auto"/>
              <w:right w:val="nil"/>
            </w:tcBorders>
            <w:hideMark/>
          </w:tcPr>
          <w:p w14:paraId="0CE695C4" w14:textId="77777777" w:rsidR="00BE5A44" w:rsidRDefault="00BE5A44" w:rsidP="005E3A8C">
            <w:pPr>
              <w:spacing w:after="0" w:line="240" w:lineRule="auto"/>
              <w:rPr>
                <w:sz w:val="18"/>
              </w:rPr>
            </w:pPr>
            <w:r>
              <w:rPr>
                <w:sz w:val="18"/>
              </w:rPr>
              <w:t>1.12 (0.37 to 3.35)</w:t>
            </w:r>
          </w:p>
        </w:tc>
      </w:tr>
      <w:tr w:rsidR="00BE5A44" w14:paraId="6B3558F0" w14:textId="77777777" w:rsidTr="005E3A8C">
        <w:trPr>
          <w:trHeight w:val="171"/>
        </w:trPr>
        <w:tc>
          <w:tcPr>
            <w:tcW w:w="0" w:type="auto"/>
            <w:vMerge/>
            <w:tcBorders>
              <w:top w:val="single" w:sz="12" w:space="0" w:color="auto"/>
              <w:left w:val="nil"/>
              <w:bottom w:val="single" w:sz="4" w:space="0" w:color="auto"/>
              <w:right w:val="nil"/>
            </w:tcBorders>
            <w:vAlign w:val="center"/>
            <w:hideMark/>
          </w:tcPr>
          <w:p w14:paraId="3F8F12BD"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hideMark/>
          </w:tcPr>
          <w:p w14:paraId="6ECEAA49" w14:textId="77777777" w:rsidR="00BE5A44" w:rsidRPr="00D8076D" w:rsidRDefault="00BE5A44" w:rsidP="005E3A8C">
            <w:pPr>
              <w:spacing w:after="0" w:line="240" w:lineRule="auto"/>
              <w:rPr>
                <w:color w:val="000000" w:themeColor="text1"/>
                <w:sz w:val="18"/>
              </w:rPr>
            </w:pPr>
            <w:r w:rsidRPr="00D8076D">
              <w:rPr>
                <w:color w:val="000000" w:themeColor="text1"/>
                <w:sz w:val="18"/>
              </w:rPr>
              <w:t>Key worker‡</w:t>
            </w:r>
          </w:p>
        </w:tc>
        <w:tc>
          <w:tcPr>
            <w:tcW w:w="2856" w:type="dxa"/>
            <w:tcBorders>
              <w:top w:val="single" w:sz="4" w:space="0" w:color="auto"/>
              <w:left w:val="nil"/>
              <w:bottom w:val="nil"/>
              <w:right w:val="nil"/>
            </w:tcBorders>
            <w:hideMark/>
          </w:tcPr>
          <w:p w14:paraId="09679341" w14:textId="77777777" w:rsidR="00BE5A44" w:rsidRPr="00D8076D" w:rsidRDefault="00BE5A44" w:rsidP="005E3A8C">
            <w:pPr>
              <w:spacing w:after="0" w:line="240" w:lineRule="auto"/>
              <w:rPr>
                <w:color w:val="000000" w:themeColor="text1"/>
                <w:sz w:val="18"/>
              </w:rPr>
            </w:pPr>
            <w:r w:rsidRPr="00D8076D">
              <w:rPr>
                <w:color w:val="000000" w:themeColor="text1"/>
                <w:sz w:val="18"/>
              </w:rPr>
              <w:t>No</w:t>
            </w:r>
          </w:p>
        </w:tc>
        <w:tc>
          <w:tcPr>
            <w:tcW w:w="1985" w:type="dxa"/>
            <w:tcBorders>
              <w:top w:val="single" w:sz="4" w:space="0" w:color="auto"/>
              <w:left w:val="nil"/>
              <w:bottom w:val="nil"/>
              <w:right w:val="nil"/>
            </w:tcBorders>
            <w:hideMark/>
          </w:tcPr>
          <w:p w14:paraId="6588EB45" w14:textId="77777777" w:rsidR="00BE5A44" w:rsidRPr="00D8076D" w:rsidRDefault="00BE5A44" w:rsidP="005E3A8C">
            <w:pPr>
              <w:spacing w:after="0" w:line="240" w:lineRule="auto"/>
              <w:rPr>
                <w:color w:val="000000" w:themeColor="text1"/>
                <w:sz w:val="18"/>
              </w:rPr>
            </w:pPr>
            <w:r w:rsidRPr="00D8076D">
              <w:rPr>
                <w:color w:val="000000" w:themeColor="text1"/>
                <w:sz w:val="18"/>
              </w:rPr>
              <w:t>Reference</w:t>
            </w:r>
          </w:p>
        </w:tc>
        <w:tc>
          <w:tcPr>
            <w:tcW w:w="1984" w:type="dxa"/>
            <w:tcBorders>
              <w:top w:val="single" w:sz="4" w:space="0" w:color="auto"/>
              <w:left w:val="nil"/>
              <w:bottom w:val="nil"/>
              <w:right w:val="nil"/>
            </w:tcBorders>
            <w:hideMark/>
          </w:tcPr>
          <w:p w14:paraId="50B69AEB" w14:textId="77777777" w:rsidR="00BE5A44" w:rsidRPr="00D8076D" w:rsidRDefault="00BE5A44" w:rsidP="005E3A8C">
            <w:pPr>
              <w:spacing w:after="0" w:line="240" w:lineRule="auto"/>
              <w:rPr>
                <w:color w:val="000000" w:themeColor="text1"/>
                <w:sz w:val="18"/>
              </w:rPr>
            </w:pPr>
            <w:r w:rsidRPr="00D8076D">
              <w:rPr>
                <w:color w:val="000000" w:themeColor="text1"/>
                <w:sz w:val="18"/>
              </w:rPr>
              <w:t>Reference</w:t>
            </w:r>
          </w:p>
        </w:tc>
        <w:tc>
          <w:tcPr>
            <w:tcW w:w="1701" w:type="dxa"/>
            <w:tcBorders>
              <w:top w:val="single" w:sz="4" w:space="0" w:color="auto"/>
              <w:left w:val="nil"/>
              <w:bottom w:val="nil"/>
              <w:right w:val="nil"/>
            </w:tcBorders>
            <w:hideMark/>
          </w:tcPr>
          <w:p w14:paraId="086215F2" w14:textId="77777777" w:rsidR="00BE5A44" w:rsidRPr="00D8076D" w:rsidRDefault="00BE5A44" w:rsidP="005E3A8C">
            <w:pPr>
              <w:spacing w:after="0" w:line="240" w:lineRule="auto"/>
              <w:rPr>
                <w:color w:val="000000" w:themeColor="text1"/>
                <w:sz w:val="18"/>
              </w:rPr>
            </w:pPr>
            <w:r w:rsidRPr="00D8076D">
              <w:rPr>
                <w:color w:val="000000" w:themeColor="text1"/>
                <w:sz w:val="18"/>
              </w:rPr>
              <w:t>-</w:t>
            </w:r>
          </w:p>
        </w:tc>
        <w:tc>
          <w:tcPr>
            <w:tcW w:w="2051" w:type="dxa"/>
            <w:tcBorders>
              <w:top w:val="single" w:sz="4" w:space="0" w:color="auto"/>
              <w:left w:val="nil"/>
              <w:bottom w:val="nil"/>
              <w:right w:val="nil"/>
            </w:tcBorders>
            <w:hideMark/>
          </w:tcPr>
          <w:p w14:paraId="35F09FF5" w14:textId="77777777" w:rsidR="00BE5A44" w:rsidRPr="00D8076D" w:rsidRDefault="00BE5A44" w:rsidP="005E3A8C">
            <w:pPr>
              <w:spacing w:after="0" w:line="240" w:lineRule="auto"/>
              <w:rPr>
                <w:color w:val="000000" w:themeColor="text1"/>
                <w:sz w:val="18"/>
              </w:rPr>
            </w:pPr>
            <w:r w:rsidRPr="00D8076D">
              <w:rPr>
                <w:color w:val="000000" w:themeColor="text1"/>
                <w:sz w:val="18"/>
              </w:rPr>
              <w:t>Reference</w:t>
            </w:r>
          </w:p>
        </w:tc>
      </w:tr>
      <w:tr w:rsidR="00BE5A44" w14:paraId="6548641A" w14:textId="77777777" w:rsidTr="005E3A8C">
        <w:trPr>
          <w:trHeight w:val="171"/>
        </w:trPr>
        <w:tc>
          <w:tcPr>
            <w:tcW w:w="0" w:type="auto"/>
            <w:vMerge/>
            <w:tcBorders>
              <w:top w:val="single" w:sz="12" w:space="0" w:color="auto"/>
              <w:left w:val="nil"/>
              <w:bottom w:val="single" w:sz="4" w:space="0" w:color="auto"/>
              <w:right w:val="nil"/>
            </w:tcBorders>
            <w:vAlign w:val="center"/>
            <w:hideMark/>
          </w:tcPr>
          <w:p w14:paraId="78A1CE58"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7275FA2E" w14:textId="77777777" w:rsidR="00BE5A44" w:rsidRPr="00D8076D" w:rsidRDefault="00BE5A44" w:rsidP="005E3A8C">
            <w:pPr>
              <w:spacing w:after="0" w:line="240" w:lineRule="auto"/>
              <w:rPr>
                <w:color w:val="000000" w:themeColor="text1"/>
                <w:sz w:val="18"/>
              </w:rPr>
            </w:pPr>
          </w:p>
        </w:tc>
        <w:tc>
          <w:tcPr>
            <w:tcW w:w="2856" w:type="dxa"/>
            <w:tcBorders>
              <w:top w:val="nil"/>
              <w:left w:val="nil"/>
              <w:bottom w:val="single" w:sz="4" w:space="0" w:color="auto"/>
              <w:right w:val="nil"/>
            </w:tcBorders>
            <w:hideMark/>
          </w:tcPr>
          <w:p w14:paraId="330BAC6D" w14:textId="77777777" w:rsidR="00BE5A44" w:rsidRPr="00D8076D" w:rsidRDefault="00BE5A44" w:rsidP="005E3A8C">
            <w:pPr>
              <w:spacing w:after="0" w:line="240" w:lineRule="auto"/>
              <w:rPr>
                <w:color w:val="000000" w:themeColor="text1"/>
                <w:sz w:val="18"/>
              </w:rPr>
            </w:pPr>
            <w:r w:rsidRPr="00D8076D">
              <w:rPr>
                <w:color w:val="000000" w:themeColor="text1"/>
                <w:sz w:val="18"/>
              </w:rPr>
              <w:t>Yes</w:t>
            </w:r>
          </w:p>
        </w:tc>
        <w:tc>
          <w:tcPr>
            <w:tcW w:w="1985" w:type="dxa"/>
            <w:tcBorders>
              <w:top w:val="nil"/>
              <w:left w:val="nil"/>
              <w:bottom w:val="single" w:sz="4" w:space="0" w:color="auto"/>
              <w:right w:val="nil"/>
            </w:tcBorders>
            <w:hideMark/>
          </w:tcPr>
          <w:p w14:paraId="61E292DC" w14:textId="77777777" w:rsidR="00BE5A44" w:rsidRPr="00D8076D" w:rsidRDefault="00BE5A44" w:rsidP="005E3A8C">
            <w:pPr>
              <w:spacing w:after="0" w:line="240" w:lineRule="auto"/>
              <w:rPr>
                <w:color w:val="000000" w:themeColor="text1"/>
                <w:sz w:val="18"/>
              </w:rPr>
            </w:pPr>
            <w:r w:rsidRPr="00D8076D">
              <w:rPr>
                <w:color w:val="000000" w:themeColor="text1"/>
                <w:sz w:val="18"/>
              </w:rPr>
              <w:t>1.12 (0.87 to 1.43)</w:t>
            </w:r>
          </w:p>
        </w:tc>
        <w:tc>
          <w:tcPr>
            <w:tcW w:w="1984" w:type="dxa"/>
            <w:tcBorders>
              <w:top w:val="nil"/>
              <w:left w:val="nil"/>
              <w:bottom w:val="single" w:sz="4" w:space="0" w:color="auto"/>
              <w:right w:val="nil"/>
            </w:tcBorders>
            <w:hideMark/>
          </w:tcPr>
          <w:p w14:paraId="4C28E3C7" w14:textId="77777777" w:rsidR="00BE5A44" w:rsidRPr="00D8076D" w:rsidRDefault="00BE5A44" w:rsidP="005E3A8C">
            <w:pPr>
              <w:spacing w:after="0" w:line="240" w:lineRule="auto"/>
              <w:rPr>
                <w:color w:val="000000" w:themeColor="text1"/>
                <w:sz w:val="18"/>
              </w:rPr>
            </w:pPr>
            <w:r w:rsidRPr="00D8076D">
              <w:rPr>
                <w:color w:val="000000" w:themeColor="text1"/>
                <w:sz w:val="18"/>
              </w:rPr>
              <w:t>1.41 (1.02 to 1.94)*</w:t>
            </w:r>
          </w:p>
        </w:tc>
        <w:tc>
          <w:tcPr>
            <w:tcW w:w="1701" w:type="dxa"/>
            <w:tcBorders>
              <w:top w:val="nil"/>
              <w:left w:val="nil"/>
              <w:bottom w:val="single" w:sz="4" w:space="0" w:color="auto"/>
              <w:right w:val="nil"/>
            </w:tcBorders>
            <w:hideMark/>
          </w:tcPr>
          <w:p w14:paraId="57B72BAC" w14:textId="77777777" w:rsidR="00BE5A44" w:rsidRPr="00D8076D" w:rsidRDefault="00BE5A44" w:rsidP="005E3A8C">
            <w:pPr>
              <w:spacing w:after="0" w:line="240" w:lineRule="auto"/>
              <w:rPr>
                <w:color w:val="000000" w:themeColor="text1"/>
                <w:sz w:val="18"/>
              </w:rPr>
            </w:pPr>
            <w:r w:rsidRPr="00D8076D">
              <w:rPr>
                <w:color w:val="000000" w:themeColor="text1"/>
                <w:sz w:val="18"/>
              </w:rPr>
              <w:t>-</w:t>
            </w:r>
          </w:p>
        </w:tc>
        <w:tc>
          <w:tcPr>
            <w:tcW w:w="2051" w:type="dxa"/>
            <w:tcBorders>
              <w:top w:val="nil"/>
              <w:left w:val="nil"/>
              <w:bottom w:val="single" w:sz="4" w:space="0" w:color="auto"/>
              <w:right w:val="nil"/>
            </w:tcBorders>
            <w:hideMark/>
          </w:tcPr>
          <w:p w14:paraId="29135248" w14:textId="77777777" w:rsidR="00BE5A44" w:rsidRPr="00D8076D" w:rsidRDefault="00BE5A44" w:rsidP="005E3A8C">
            <w:pPr>
              <w:spacing w:after="0" w:line="240" w:lineRule="auto"/>
              <w:rPr>
                <w:color w:val="000000" w:themeColor="text1"/>
                <w:sz w:val="18"/>
              </w:rPr>
            </w:pPr>
            <w:r w:rsidRPr="00D8076D">
              <w:rPr>
                <w:color w:val="000000" w:themeColor="text1"/>
                <w:sz w:val="18"/>
              </w:rPr>
              <w:t>2.29 (1.15 to 4.58)*</w:t>
            </w:r>
          </w:p>
        </w:tc>
      </w:tr>
      <w:tr w:rsidR="00BE5A44" w14:paraId="14F16D54" w14:textId="77777777" w:rsidTr="005E3A8C">
        <w:trPr>
          <w:trHeight w:val="90"/>
        </w:trPr>
        <w:tc>
          <w:tcPr>
            <w:tcW w:w="0" w:type="auto"/>
            <w:vMerge/>
            <w:tcBorders>
              <w:top w:val="single" w:sz="12" w:space="0" w:color="auto"/>
              <w:left w:val="nil"/>
              <w:bottom w:val="single" w:sz="4" w:space="0" w:color="auto"/>
              <w:right w:val="nil"/>
            </w:tcBorders>
            <w:vAlign w:val="center"/>
            <w:hideMark/>
          </w:tcPr>
          <w:p w14:paraId="25353262" w14:textId="77777777" w:rsidR="00BE5A44" w:rsidRDefault="00BE5A44" w:rsidP="005E3A8C">
            <w:pPr>
              <w:spacing w:after="0" w:line="240" w:lineRule="auto"/>
              <w:rPr>
                <w:sz w:val="18"/>
              </w:rPr>
            </w:pPr>
          </w:p>
        </w:tc>
        <w:tc>
          <w:tcPr>
            <w:tcW w:w="0" w:type="auto"/>
            <w:vMerge w:val="restart"/>
            <w:tcBorders>
              <w:top w:val="single" w:sz="4" w:space="0" w:color="auto"/>
              <w:left w:val="nil"/>
              <w:bottom w:val="single" w:sz="4" w:space="0" w:color="auto"/>
              <w:right w:val="nil"/>
            </w:tcBorders>
          </w:tcPr>
          <w:p w14:paraId="04DA9386" w14:textId="77777777" w:rsidR="00BE5A44" w:rsidRDefault="00BE5A44" w:rsidP="005E3A8C">
            <w:pPr>
              <w:spacing w:after="0" w:line="240" w:lineRule="auto"/>
              <w:rPr>
                <w:sz w:val="18"/>
              </w:rPr>
            </w:pPr>
            <w:r>
              <w:rPr>
                <w:sz w:val="18"/>
              </w:rPr>
              <w:t>Highest earner in household</w:t>
            </w:r>
          </w:p>
          <w:p w14:paraId="505A3ED1" w14:textId="77777777" w:rsidR="00BE5A44" w:rsidRDefault="00BE5A44" w:rsidP="005E3A8C">
            <w:pPr>
              <w:spacing w:after="0" w:line="240" w:lineRule="auto"/>
              <w:rPr>
                <w:sz w:val="18"/>
              </w:rPr>
            </w:pPr>
          </w:p>
        </w:tc>
        <w:tc>
          <w:tcPr>
            <w:tcW w:w="2856" w:type="dxa"/>
            <w:tcBorders>
              <w:top w:val="single" w:sz="4" w:space="0" w:color="auto"/>
              <w:left w:val="nil"/>
              <w:bottom w:val="nil"/>
              <w:right w:val="nil"/>
            </w:tcBorders>
            <w:hideMark/>
          </w:tcPr>
          <w:p w14:paraId="3128A82D" w14:textId="77777777" w:rsidR="00BE5A44" w:rsidRDefault="00BE5A44" w:rsidP="005E3A8C">
            <w:pPr>
              <w:spacing w:after="0" w:line="240" w:lineRule="auto"/>
              <w:rPr>
                <w:sz w:val="18"/>
              </w:rPr>
            </w:pPr>
            <w:r>
              <w:rPr>
                <w:sz w:val="18"/>
              </w:rPr>
              <w:t>Not manual worker</w:t>
            </w:r>
          </w:p>
        </w:tc>
        <w:tc>
          <w:tcPr>
            <w:tcW w:w="1985" w:type="dxa"/>
            <w:tcBorders>
              <w:top w:val="single" w:sz="4" w:space="0" w:color="auto"/>
              <w:left w:val="nil"/>
              <w:bottom w:val="nil"/>
              <w:right w:val="nil"/>
            </w:tcBorders>
            <w:hideMark/>
          </w:tcPr>
          <w:p w14:paraId="7FC88E6D" w14:textId="77777777" w:rsidR="00BE5A44" w:rsidRDefault="00BE5A44" w:rsidP="005E3A8C">
            <w:pPr>
              <w:spacing w:after="0" w:line="240" w:lineRule="auto"/>
              <w:rPr>
                <w:sz w:val="18"/>
              </w:rPr>
            </w:pPr>
            <w:r>
              <w:rPr>
                <w:sz w:val="18"/>
              </w:rPr>
              <w:t>Reference</w:t>
            </w:r>
          </w:p>
        </w:tc>
        <w:tc>
          <w:tcPr>
            <w:tcW w:w="1984" w:type="dxa"/>
            <w:tcBorders>
              <w:top w:val="single" w:sz="4" w:space="0" w:color="auto"/>
              <w:left w:val="nil"/>
              <w:bottom w:val="nil"/>
              <w:right w:val="nil"/>
            </w:tcBorders>
            <w:hideMark/>
          </w:tcPr>
          <w:p w14:paraId="4C0CE1C2" w14:textId="77777777" w:rsidR="00BE5A44" w:rsidRDefault="00BE5A44" w:rsidP="005E3A8C">
            <w:pPr>
              <w:spacing w:after="0" w:line="240" w:lineRule="auto"/>
              <w:rPr>
                <w:sz w:val="18"/>
              </w:rPr>
            </w:pPr>
            <w:r>
              <w:rPr>
                <w:sz w:val="18"/>
              </w:rPr>
              <w:t>Reference</w:t>
            </w:r>
          </w:p>
        </w:tc>
        <w:tc>
          <w:tcPr>
            <w:tcW w:w="1701" w:type="dxa"/>
            <w:tcBorders>
              <w:top w:val="single" w:sz="4" w:space="0" w:color="auto"/>
              <w:left w:val="nil"/>
              <w:bottom w:val="nil"/>
              <w:right w:val="nil"/>
            </w:tcBorders>
            <w:hideMark/>
          </w:tcPr>
          <w:p w14:paraId="253DBA8D" w14:textId="77777777" w:rsidR="00BE5A44" w:rsidRDefault="00BE5A44" w:rsidP="005E3A8C">
            <w:pPr>
              <w:spacing w:after="0" w:line="240" w:lineRule="auto"/>
              <w:rPr>
                <w:sz w:val="18"/>
              </w:rPr>
            </w:pPr>
            <w:r>
              <w:rPr>
                <w:sz w:val="18"/>
              </w:rPr>
              <w:t>Reference</w:t>
            </w:r>
          </w:p>
        </w:tc>
        <w:tc>
          <w:tcPr>
            <w:tcW w:w="2051" w:type="dxa"/>
            <w:tcBorders>
              <w:top w:val="single" w:sz="4" w:space="0" w:color="auto"/>
              <w:left w:val="nil"/>
              <w:bottom w:val="nil"/>
              <w:right w:val="nil"/>
            </w:tcBorders>
            <w:hideMark/>
          </w:tcPr>
          <w:p w14:paraId="4C2A7C5A" w14:textId="77777777" w:rsidR="00BE5A44" w:rsidRDefault="00BE5A44" w:rsidP="005E3A8C">
            <w:pPr>
              <w:spacing w:after="0" w:line="240" w:lineRule="auto"/>
              <w:rPr>
                <w:sz w:val="18"/>
              </w:rPr>
            </w:pPr>
            <w:r>
              <w:rPr>
                <w:sz w:val="18"/>
              </w:rPr>
              <w:t>Reference</w:t>
            </w:r>
          </w:p>
        </w:tc>
      </w:tr>
      <w:tr w:rsidR="00BE5A44" w14:paraId="54070050" w14:textId="77777777" w:rsidTr="005E3A8C">
        <w:trPr>
          <w:trHeight w:val="171"/>
        </w:trPr>
        <w:tc>
          <w:tcPr>
            <w:tcW w:w="0" w:type="auto"/>
            <w:vMerge/>
            <w:tcBorders>
              <w:top w:val="single" w:sz="12" w:space="0" w:color="auto"/>
              <w:left w:val="nil"/>
              <w:bottom w:val="single" w:sz="4" w:space="0" w:color="auto"/>
              <w:right w:val="nil"/>
            </w:tcBorders>
            <w:vAlign w:val="center"/>
            <w:hideMark/>
          </w:tcPr>
          <w:p w14:paraId="0CFBE0D2" w14:textId="77777777" w:rsidR="00BE5A44" w:rsidRDefault="00BE5A44" w:rsidP="005E3A8C">
            <w:pPr>
              <w:spacing w:after="0" w:line="240" w:lineRule="auto"/>
              <w:rPr>
                <w:sz w:val="18"/>
              </w:rPr>
            </w:pPr>
          </w:p>
        </w:tc>
        <w:tc>
          <w:tcPr>
            <w:tcW w:w="0" w:type="auto"/>
            <w:vMerge/>
            <w:tcBorders>
              <w:top w:val="single" w:sz="4" w:space="0" w:color="auto"/>
              <w:left w:val="nil"/>
              <w:bottom w:val="single" w:sz="4" w:space="0" w:color="auto"/>
              <w:right w:val="nil"/>
            </w:tcBorders>
            <w:vAlign w:val="center"/>
            <w:hideMark/>
          </w:tcPr>
          <w:p w14:paraId="35EC9FB2" w14:textId="77777777" w:rsidR="00BE5A44" w:rsidRDefault="00BE5A44" w:rsidP="005E3A8C">
            <w:pPr>
              <w:spacing w:after="0" w:line="240" w:lineRule="auto"/>
              <w:rPr>
                <w:sz w:val="18"/>
              </w:rPr>
            </w:pPr>
          </w:p>
        </w:tc>
        <w:tc>
          <w:tcPr>
            <w:tcW w:w="2856" w:type="dxa"/>
            <w:tcBorders>
              <w:top w:val="nil"/>
              <w:left w:val="nil"/>
              <w:bottom w:val="single" w:sz="4" w:space="0" w:color="auto"/>
              <w:right w:val="nil"/>
            </w:tcBorders>
            <w:hideMark/>
          </w:tcPr>
          <w:p w14:paraId="51B74D79" w14:textId="77777777" w:rsidR="00BE5A44" w:rsidRDefault="00BE5A44" w:rsidP="005E3A8C">
            <w:pPr>
              <w:spacing w:after="0" w:line="240" w:lineRule="auto"/>
              <w:rPr>
                <w:sz w:val="18"/>
              </w:rPr>
            </w:pPr>
            <w:r>
              <w:rPr>
                <w:sz w:val="18"/>
              </w:rPr>
              <w:t>Manual worker</w:t>
            </w:r>
          </w:p>
        </w:tc>
        <w:tc>
          <w:tcPr>
            <w:tcW w:w="1985" w:type="dxa"/>
            <w:tcBorders>
              <w:top w:val="nil"/>
              <w:left w:val="nil"/>
              <w:bottom w:val="single" w:sz="4" w:space="0" w:color="auto"/>
              <w:right w:val="nil"/>
            </w:tcBorders>
            <w:hideMark/>
          </w:tcPr>
          <w:p w14:paraId="002404AF" w14:textId="77777777" w:rsidR="00BE5A44" w:rsidRDefault="00BE5A44" w:rsidP="005E3A8C">
            <w:pPr>
              <w:spacing w:after="0" w:line="240" w:lineRule="auto"/>
              <w:rPr>
                <w:sz w:val="18"/>
              </w:rPr>
            </w:pPr>
            <w:r>
              <w:rPr>
                <w:sz w:val="18"/>
              </w:rPr>
              <w:t>0.96 (0.77 to 1.19)</w:t>
            </w:r>
          </w:p>
        </w:tc>
        <w:tc>
          <w:tcPr>
            <w:tcW w:w="1984" w:type="dxa"/>
            <w:tcBorders>
              <w:top w:val="nil"/>
              <w:left w:val="nil"/>
              <w:bottom w:val="single" w:sz="4" w:space="0" w:color="auto"/>
              <w:right w:val="nil"/>
            </w:tcBorders>
            <w:hideMark/>
          </w:tcPr>
          <w:p w14:paraId="00D46C5E" w14:textId="77777777" w:rsidR="00BE5A44" w:rsidRDefault="00BE5A44" w:rsidP="005E3A8C">
            <w:pPr>
              <w:spacing w:after="0" w:line="240" w:lineRule="auto"/>
              <w:rPr>
                <w:sz w:val="18"/>
              </w:rPr>
            </w:pPr>
            <w:r>
              <w:rPr>
                <w:sz w:val="18"/>
              </w:rPr>
              <w:t>1.51 (1.14 to 2)*</w:t>
            </w:r>
          </w:p>
        </w:tc>
        <w:tc>
          <w:tcPr>
            <w:tcW w:w="1701" w:type="dxa"/>
            <w:tcBorders>
              <w:top w:val="nil"/>
              <w:left w:val="nil"/>
              <w:bottom w:val="single" w:sz="4" w:space="0" w:color="auto"/>
              <w:right w:val="nil"/>
            </w:tcBorders>
            <w:hideMark/>
          </w:tcPr>
          <w:p w14:paraId="704E0DDD" w14:textId="77777777" w:rsidR="00BE5A44" w:rsidRDefault="00BE5A44" w:rsidP="005E3A8C">
            <w:pPr>
              <w:spacing w:after="0" w:line="240" w:lineRule="auto"/>
              <w:rPr>
                <w:sz w:val="18"/>
              </w:rPr>
            </w:pPr>
            <w:r>
              <w:rPr>
                <w:sz w:val="18"/>
              </w:rPr>
              <w:t>1.03 (0.55 to 1.91)</w:t>
            </w:r>
          </w:p>
        </w:tc>
        <w:tc>
          <w:tcPr>
            <w:tcW w:w="2051" w:type="dxa"/>
            <w:tcBorders>
              <w:top w:val="nil"/>
              <w:left w:val="nil"/>
              <w:bottom w:val="single" w:sz="4" w:space="0" w:color="auto"/>
              <w:right w:val="nil"/>
            </w:tcBorders>
            <w:hideMark/>
          </w:tcPr>
          <w:p w14:paraId="7D76DCF1" w14:textId="77777777" w:rsidR="00BE5A44" w:rsidRDefault="00BE5A44" w:rsidP="005E3A8C">
            <w:pPr>
              <w:spacing w:after="0" w:line="240" w:lineRule="auto"/>
              <w:rPr>
                <w:sz w:val="18"/>
              </w:rPr>
            </w:pPr>
            <w:r>
              <w:rPr>
                <w:sz w:val="18"/>
              </w:rPr>
              <w:t>1.08 (0.63 to 1.84)</w:t>
            </w:r>
          </w:p>
        </w:tc>
      </w:tr>
    </w:tbl>
    <w:p w14:paraId="2BA3D328" w14:textId="77777777" w:rsidR="00BE5A44" w:rsidRDefault="00BE5A44" w:rsidP="00BE5A44">
      <w:pPr>
        <w:spacing w:after="0" w:line="240" w:lineRule="auto"/>
      </w:pPr>
      <w:r>
        <w:t>†Adjusted for personal characteristics (not including ever having had coronavirus) and region</w:t>
      </w:r>
    </w:p>
    <w:p w14:paraId="46E8740E" w14:textId="77777777" w:rsidR="00BE5A44" w:rsidRDefault="00BE5A44" w:rsidP="00BE5A44">
      <w:pPr>
        <w:spacing w:after="0" w:line="240" w:lineRule="auto"/>
      </w:pPr>
      <w:r>
        <w:t>‡Not adjusting for employment status (employment type and key worker questions only asked to a subsection of sample based on answers to employment question; self-employment taken as answer from employment status)</w:t>
      </w:r>
    </w:p>
    <w:p w14:paraId="5EB924B6" w14:textId="77777777" w:rsidR="00BE5A44" w:rsidRDefault="00BE5A44" w:rsidP="00BE5A44">
      <w:pPr>
        <w:spacing w:after="0" w:line="240" w:lineRule="auto"/>
        <w:rPr>
          <w:bCs/>
          <w:szCs w:val="24"/>
        </w:rPr>
      </w:pPr>
      <w:r>
        <w:rPr>
          <w:bCs/>
          <w:szCs w:val="24"/>
        </w:rPr>
        <w:t>§ Doesn’t adjust for age, as no cases in one cell</w:t>
      </w:r>
    </w:p>
    <w:p w14:paraId="7FC23BF8" w14:textId="77777777" w:rsidR="00BE5A44" w:rsidRDefault="00BE5A44" w:rsidP="00BE5A44">
      <w:pPr>
        <w:spacing w:after="0" w:line="240" w:lineRule="auto"/>
      </w:pPr>
    </w:p>
    <w:p w14:paraId="5983A1D6" w14:textId="77777777" w:rsidR="00BE5A44" w:rsidRDefault="00BE5A44" w:rsidP="00BE5A44">
      <w:pPr>
        <w:spacing w:after="0" w:line="240" w:lineRule="auto"/>
      </w:pPr>
    </w:p>
    <w:p w14:paraId="29E47B9D" w14:textId="77777777" w:rsidR="00BE5A44" w:rsidRDefault="00BE5A44" w:rsidP="00BE5A44">
      <w:pPr>
        <w:pStyle w:val="ListParagraph"/>
        <w:numPr>
          <w:ilvl w:val="0"/>
          <w:numId w:val="10"/>
        </w:numPr>
        <w:spacing w:after="0"/>
      </w:pPr>
      <w:r>
        <w:t>Employment type asked only to those who were in full-time, part-time or self-employment.</w:t>
      </w:r>
    </w:p>
    <w:p w14:paraId="3D670CF4" w14:textId="77777777" w:rsidR="00BE5A44" w:rsidRDefault="00BE5A44" w:rsidP="00BE5A44">
      <w:pPr>
        <w:pStyle w:val="ListParagraph"/>
        <w:numPr>
          <w:ilvl w:val="0"/>
          <w:numId w:val="10"/>
        </w:numPr>
        <w:spacing w:after="0"/>
      </w:pPr>
      <w:r>
        <w:t>Self-employment asked only to those who were in full-time, part-time or self-employment.</w:t>
      </w:r>
    </w:p>
    <w:p w14:paraId="3568BB17" w14:textId="77777777" w:rsidR="00BE5A44" w:rsidRPr="000869A8" w:rsidRDefault="00BE5A44" w:rsidP="00BE5A44">
      <w:pPr>
        <w:pStyle w:val="ListParagraph"/>
        <w:numPr>
          <w:ilvl w:val="0"/>
          <w:numId w:val="10"/>
        </w:numPr>
        <w:spacing w:after="0"/>
      </w:pPr>
      <w:r>
        <w:t>Key worker as defined by question in D3B of questionnaire.</w:t>
      </w:r>
    </w:p>
    <w:p w14:paraId="05082408" w14:textId="7AA5579A" w:rsidR="00680D50" w:rsidRDefault="00680D50">
      <w:pPr>
        <w:spacing w:after="160" w:line="259" w:lineRule="auto"/>
        <w:rPr>
          <w:i/>
          <w:iCs/>
        </w:rPr>
      </w:pPr>
    </w:p>
    <w:p w14:paraId="67004F18" w14:textId="77777777" w:rsidR="00BE5A44" w:rsidRDefault="00BE5A44">
      <w:pPr>
        <w:sectPr w:rsidR="00BE5A44" w:rsidSect="00BE5A44">
          <w:pgSz w:w="16838" w:h="11906" w:orient="landscape"/>
          <w:pgMar w:top="1440" w:right="1440" w:bottom="1440" w:left="1440" w:header="709" w:footer="709" w:gutter="0"/>
          <w:cols w:space="708"/>
          <w:docGrid w:linePitch="360"/>
        </w:sectPr>
      </w:pPr>
    </w:p>
    <w:p w14:paraId="648B57FA" w14:textId="0819F608" w:rsidR="004122D9" w:rsidRPr="00680D50" w:rsidRDefault="002B4C6F">
      <w:pPr>
        <w:rPr>
          <w:i/>
          <w:iCs/>
        </w:rPr>
      </w:pPr>
      <w:r>
        <w:lastRenderedPageBreak/>
        <w:t>Datasets used:</w:t>
      </w:r>
    </w:p>
    <w:p w14:paraId="4772998F" w14:textId="06D118F2" w:rsidR="002B4C6F" w:rsidRDefault="002B4C6F" w:rsidP="002B4C6F">
      <w:pPr>
        <w:pStyle w:val="ListParagraph"/>
        <w:numPr>
          <w:ilvl w:val="0"/>
          <w:numId w:val="1"/>
        </w:numPr>
      </w:pPr>
      <w:r>
        <w:t>Department of Health and Social Care weekly tracker</w:t>
      </w:r>
    </w:p>
    <w:p w14:paraId="1EB6BB75" w14:textId="276E6034" w:rsidR="002B4C6F" w:rsidRDefault="002B4C6F" w:rsidP="002B4C6F">
      <w:pPr>
        <w:pStyle w:val="ListParagraph"/>
        <w:numPr>
          <w:ilvl w:val="1"/>
          <w:numId w:val="1"/>
        </w:numPr>
      </w:pPr>
      <w:r>
        <w:t>Track</w:t>
      </w:r>
      <w:r w:rsidR="00260875">
        <w:t>ing</w:t>
      </w:r>
      <w:r>
        <w:t xml:space="preserve"> DHSC marketing, coronavirus attitudes, beliefs, knowledge, reported behaviour</w:t>
      </w:r>
      <w:r w:rsidR="00260875">
        <w:t>, satisfaction with Government response, credibility of Government.</w:t>
      </w:r>
    </w:p>
    <w:p w14:paraId="467A8C2C" w14:textId="4C3BA679" w:rsidR="002B4C6F" w:rsidRDefault="002B4C6F" w:rsidP="002B4C6F">
      <w:pPr>
        <w:pStyle w:val="ListParagraph"/>
        <w:numPr>
          <w:ilvl w:val="1"/>
          <w:numId w:val="1"/>
        </w:numPr>
      </w:pPr>
      <w:r>
        <w:t>Data collected weekly (Monday to Wednesday) since late January</w:t>
      </w:r>
      <w:r w:rsidR="00260875">
        <w:t>.</w:t>
      </w:r>
    </w:p>
    <w:p w14:paraId="536AF46E" w14:textId="63ABADE9" w:rsidR="002B4C6F" w:rsidRDefault="002B4C6F" w:rsidP="002B4C6F">
      <w:pPr>
        <w:pStyle w:val="ListParagraph"/>
        <w:numPr>
          <w:ilvl w:val="1"/>
          <w:numId w:val="1"/>
        </w:numPr>
      </w:pPr>
      <w:r>
        <w:t>N~2000 per wave</w:t>
      </w:r>
      <w:r w:rsidR="00260875">
        <w:t>.</w:t>
      </w:r>
    </w:p>
    <w:p w14:paraId="34C9398A" w14:textId="5F58F974" w:rsidR="002B4C6F" w:rsidRDefault="002B4C6F" w:rsidP="002B4C6F">
      <w:pPr>
        <w:pStyle w:val="ListParagraph"/>
        <w:numPr>
          <w:ilvl w:val="1"/>
          <w:numId w:val="1"/>
        </w:numPr>
      </w:pPr>
      <w:r>
        <w:t>Market research company commissioned: BMG Research</w:t>
      </w:r>
      <w:r w:rsidR="00260875">
        <w:t>.</w:t>
      </w:r>
    </w:p>
    <w:p w14:paraId="7366C1D6" w14:textId="0AEAFAE2" w:rsidR="00247B75" w:rsidRPr="00E40198" w:rsidRDefault="00247B75" w:rsidP="002B4C6F">
      <w:pPr>
        <w:pStyle w:val="ListParagraph"/>
        <w:numPr>
          <w:ilvl w:val="1"/>
          <w:numId w:val="1"/>
        </w:numPr>
        <w:rPr>
          <w:i/>
          <w:iCs/>
        </w:rPr>
      </w:pPr>
      <w:r w:rsidRPr="00E40198">
        <w:rPr>
          <w:i/>
          <w:iCs/>
        </w:rPr>
        <w:t>This survey is not designed to collect the views of NHS workers and respondents in this sample working in the NHS are not representative of the wider NHS workers in general. In particular, the sample in the survey is of NHS staff who have time to participate in on-line polls. In the context of a major public health crisis this poses very substantial limitations.</w:t>
      </w:r>
    </w:p>
    <w:p w14:paraId="3C0BFD57" w14:textId="4813D908" w:rsidR="004C6CE2" w:rsidRDefault="004C6CE2" w:rsidP="004C6CE2"/>
    <w:p w14:paraId="2C4EBD1E" w14:textId="72608F17" w:rsidR="004C6CE2" w:rsidRDefault="004C6CE2" w:rsidP="004C6CE2">
      <w:pPr>
        <w:pStyle w:val="Footer"/>
      </w:pPr>
      <w:r>
        <w:t>Dr Louise E. Smith (KCL), Professor Nicola T. Fear (KCL), Dr Henry W.W. Potts (UCL), Professor Susan Michie (UCL), Professor Richard Aml</w:t>
      </w:r>
      <w:r>
        <w:rPr>
          <w:rFonts w:cs="Times"/>
        </w:rPr>
        <w:t>ȏ</w:t>
      </w:r>
      <w:r>
        <w:t>t (PHE), Dr G James Rubin (KCL)</w:t>
      </w:r>
    </w:p>
    <w:p w14:paraId="63B9FE84" w14:textId="77777777" w:rsidR="004C6CE2" w:rsidRDefault="004C6CE2" w:rsidP="004C6CE2">
      <w:pPr>
        <w:pStyle w:val="Footer"/>
      </w:pPr>
    </w:p>
    <w:p w14:paraId="7165E6E4" w14:textId="77777777" w:rsidR="004C6CE2" w:rsidRDefault="004C6CE2" w:rsidP="004C6CE2">
      <w:pPr>
        <w:pStyle w:val="Footer"/>
      </w:pPr>
      <w:r>
        <w:t xml:space="preserve">Contact details: </w:t>
      </w:r>
      <w:hyperlink r:id="rId12" w:history="1">
        <w:r w:rsidRPr="00506342">
          <w:rPr>
            <w:rStyle w:val="Hyperlink"/>
          </w:rPr>
          <w:t>louise.e.smith@kcl.ac.uk</w:t>
        </w:r>
      </w:hyperlink>
      <w:r>
        <w:t xml:space="preserve">, </w:t>
      </w:r>
      <w:hyperlink r:id="rId13" w:history="1">
        <w:r w:rsidRPr="00C3347A">
          <w:rPr>
            <w:rStyle w:val="Hyperlink"/>
          </w:rPr>
          <w:t>richard.amlot@phe.gov.uk</w:t>
        </w:r>
      </w:hyperlink>
      <w:r>
        <w:t xml:space="preserve">, </w:t>
      </w:r>
      <w:hyperlink r:id="rId14" w:history="1">
        <w:r>
          <w:rPr>
            <w:rStyle w:val="Hyperlink"/>
          </w:rPr>
          <w:t>g</w:t>
        </w:r>
        <w:r w:rsidRPr="00506342">
          <w:rPr>
            <w:rStyle w:val="Hyperlink"/>
          </w:rPr>
          <w:t>ideon.rubin@kcl.ac.uk</w:t>
        </w:r>
      </w:hyperlink>
      <w:r>
        <w:t xml:space="preserve"> </w:t>
      </w:r>
    </w:p>
    <w:p w14:paraId="3C79EB90" w14:textId="77777777" w:rsidR="004C6CE2" w:rsidRPr="002B4C6F" w:rsidRDefault="004C6CE2" w:rsidP="004C6CE2"/>
    <w:sectPr w:rsidR="004C6CE2" w:rsidRPr="002B4C6F">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08281968" w14:textId="77777777" w:rsidR="005E3A8C" w:rsidRDefault="005E3A8C" w:rsidP="00B53E58">
      <w:pPr>
        <w:spacing w:after="0" w:line="240" w:lineRule="auto"/>
      </w:pPr>
      <w:r>
        <w:separator/>
      </w:r>
    </w:p>
  </w:endnote>
  <w:endnote w:type="continuationSeparator" w:id="0">
    <w:p w14:paraId="4F94221D" w14:textId="77777777" w:rsidR="005E3A8C" w:rsidRDefault="005E3A8C" w:rsidP="00B53E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46530064"/>
      <w:docPartObj>
        <w:docPartGallery w:val="Page Numbers (Bottom of Page)"/>
        <w:docPartUnique/>
      </w:docPartObj>
    </w:sdtPr>
    <w:sdtEndPr>
      <w:rPr>
        <w:noProof/>
      </w:rPr>
    </w:sdtEndPr>
    <w:sdtContent>
      <w:p w14:paraId="0D2478BB" w14:textId="4A501E0D" w:rsidR="005E3A8C" w:rsidRDefault="005E3A8C">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1ACFB8A5" w14:textId="5D0B14A9" w:rsidR="005E3A8C" w:rsidRPr="004C6CE2" w:rsidRDefault="005E3A8C" w:rsidP="004C6CE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2E8D205D" w14:textId="77777777" w:rsidR="005E3A8C" w:rsidRDefault="005E3A8C" w:rsidP="00B53E58">
      <w:pPr>
        <w:spacing w:after="0" w:line="240" w:lineRule="auto"/>
      </w:pPr>
      <w:r>
        <w:separator/>
      </w:r>
    </w:p>
  </w:footnote>
  <w:footnote w:type="continuationSeparator" w:id="0">
    <w:p w14:paraId="0694E54F" w14:textId="77777777" w:rsidR="005E3A8C" w:rsidRDefault="005E3A8C" w:rsidP="00B53E5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A770108" w14:textId="0328F303" w:rsidR="005E3A8C" w:rsidRDefault="005E3A8C" w:rsidP="00B53E58">
    <w:pPr>
      <w:pStyle w:val="Header"/>
      <w:ind w:left="-1418" w:right="-96"/>
    </w:pPr>
    <w:r>
      <w:rPr>
        <w:noProof/>
      </w:rPr>
      <w:drawing>
        <wp:anchor distT="0" distB="0" distL="114300" distR="114300" simplePos="0" relativeHeight="251662336" behindDoc="0" locked="0" layoutInCell="1" allowOverlap="1" wp14:anchorId="471B3929" wp14:editId="373216C7">
          <wp:simplePos x="0" y="0"/>
          <wp:positionH relativeFrom="margin">
            <wp:posOffset>2259330</wp:posOffset>
          </wp:positionH>
          <wp:positionV relativeFrom="paragraph">
            <wp:posOffset>4445</wp:posOffset>
          </wp:positionV>
          <wp:extent cx="2381250" cy="563902"/>
          <wp:effectExtent l="0" t="0" r="0" b="762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81250" cy="563902"/>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01C8DC93" wp14:editId="36363998">
          <wp:simplePos x="0" y="0"/>
          <wp:positionH relativeFrom="column">
            <wp:posOffset>-520700</wp:posOffset>
          </wp:positionH>
          <wp:positionV relativeFrom="paragraph">
            <wp:posOffset>140335</wp:posOffset>
          </wp:positionV>
          <wp:extent cx="2305685" cy="318135"/>
          <wp:effectExtent l="0" t="0" r="0" b="5715"/>
          <wp:wrapSquare wrapText="bothSides"/>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pic:cNvPicPr>
                    <a:picLocks noChangeAspect="1" noChangeArrowheads="1"/>
                  </pic:cNvPicPr>
                </pic:nvPicPr>
                <pic:blipFill>
                  <a:blip r:embed="rId2">
                    <a:extLst>
                      <a:ext uri="{28A0092B-C50C-407E-A947-70E740481C1C}">
                        <a14:useLocalDpi xmlns:a14="http://schemas.microsoft.com/office/drawing/2010/main" val="0"/>
                      </a:ext>
                    </a:extLst>
                  </a:blip>
                  <a:srcRect b="88892"/>
                  <a:stretch>
                    <a:fillRect/>
                  </a:stretch>
                </pic:blipFill>
                <pic:spPr bwMode="auto">
                  <a:xfrm>
                    <a:off x="0" y="0"/>
                    <a:ext cx="2305685" cy="31813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61312" behindDoc="0" locked="0" layoutInCell="1" allowOverlap="1" wp14:anchorId="0E08C3EE" wp14:editId="516A48DC">
          <wp:simplePos x="0" y="0"/>
          <wp:positionH relativeFrom="column">
            <wp:posOffset>5388197</wp:posOffset>
          </wp:positionH>
          <wp:positionV relativeFrom="paragraph">
            <wp:posOffset>-272903</wp:posOffset>
          </wp:positionV>
          <wp:extent cx="910064" cy="1116478"/>
          <wp:effectExtent l="0" t="0" r="4445" b="762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10064" cy="1116478"/>
                  </a:xfrm>
                  <a:prstGeom prst="rect">
                    <a:avLst/>
                  </a:prstGeom>
                  <a:noFill/>
                  <a:ln>
                    <a:noFill/>
                  </a:ln>
                </pic:spPr>
              </pic:pic>
            </a:graphicData>
          </a:graphic>
        </wp:anchor>
      </w:drawing>
    </w:r>
  </w:p>
  <w:p w14:paraId="17E50E4D" w14:textId="418D88FC" w:rsidR="005E3A8C" w:rsidRDefault="005E3A8C" w:rsidP="00B53E58">
    <w:pPr>
      <w:pStyle w:val="Header"/>
      <w:ind w:left="-1418" w:right="-96"/>
    </w:pPr>
  </w:p>
  <w:p w14:paraId="5F47507F" w14:textId="7F55B3BB" w:rsidR="005E3A8C" w:rsidRDefault="005E3A8C" w:rsidP="00B53E58">
    <w:pPr>
      <w:pStyle w:val="Header"/>
      <w:ind w:left="-1418" w:right="-96"/>
    </w:pPr>
  </w:p>
  <w:p w14:paraId="5C6EC28F" w14:textId="30A1393F" w:rsidR="005E3A8C" w:rsidRDefault="005E3A8C" w:rsidP="00B53E58">
    <w:pPr>
      <w:pStyle w:val="Header"/>
      <w:ind w:left="-1418" w:right="-96"/>
    </w:pPr>
  </w:p>
  <w:p w14:paraId="141313E6" w14:textId="77777777" w:rsidR="005E3A8C" w:rsidRDefault="005E3A8C" w:rsidP="00B53E58">
    <w:pPr>
      <w:pStyle w:val="Header"/>
      <w:ind w:left="-1418" w:right="-96"/>
    </w:pPr>
  </w:p>
  <w:p w14:paraId="0446CF3D" w14:textId="32822A86" w:rsidR="005E3A8C" w:rsidRDefault="005E3A8C" w:rsidP="00B53E58">
    <w:pPr>
      <w:pStyle w:val="Header"/>
      <w:ind w:left="-1418" w:right="-96"/>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E950BB9"/>
    <w:multiLevelType w:val="hybridMultilevel"/>
    <w:tmpl w:val="DEC855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15F80730"/>
    <w:multiLevelType w:val="hybridMultilevel"/>
    <w:tmpl w:val="E130935A"/>
    <w:lvl w:ilvl="0" w:tplc="D3B8C28A">
      <w:start w:val="1"/>
      <w:numFmt w:val="bullet"/>
      <w:lvlText w:val="-"/>
      <w:lvlJc w:val="left"/>
      <w:pPr>
        <w:ind w:left="720" w:hanging="360"/>
      </w:pPr>
      <w:rPr>
        <w:rFonts w:ascii="Times New Roman" w:eastAsiaTheme="minorHAnsi" w:hAnsi="Times New Roman" w:cs="Times New Roman"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212372ED"/>
    <w:multiLevelType w:val="hybridMultilevel"/>
    <w:tmpl w:val="7B9C790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21EA3D0E"/>
    <w:multiLevelType w:val="hybridMultilevel"/>
    <w:tmpl w:val="0BC626C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432238A4"/>
    <w:multiLevelType w:val="hybridMultilevel"/>
    <w:tmpl w:val="D2408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47CB05C0"/>
    <w:multiLevelType w:val="hybridMultilevel"/>
    <w:tmpl w:val="F940CAF6"/>
    <w:lvl w:ilvl="0" w:tplc="C3F66228">
      <w:numFmt w:val="bullet"/>
      <w:lvlText w:val="-"/>
      <w:lvlJc w:val="left"/>
      <w:pPr>
        <w:ind w:left="720" w:hanging="360"/>
      </w:pPr>
      <w:rPr>
        <w:rFonts w:ascii="Times" w:eastAsia="Times New Roman" w:hAnsi="Times" w:cs="Times"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577E53B6"/>
    <w:multiLevelType w:val="hybridMultilevel"/>
    <w:tmpl w:val="7AE62A7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879337D"/>
    <w:multiLevelType w:val="hybridMultilevel"/>
    <w:tmpl w:val="9838254C"/>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74A82669"/>
    <w:multiLevelType w:val="hybridMultilevel"/>
    <w:tmpl w:val="9F46E14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15:restartNumberingAfterBreak="0">
    <w:nsid w:val="79561F8C"/>
    <w:multiLevelType w:val="hybridMultilevel"/>
    <w:tmpl w:val="4ADA0DF0"/>
    <w:lvl w:ilvl="0" w:tplc="08090001">
      <w:start w:val="1"/>
      <w:numFmt w:val="bullet"/>
      <w:lvlText w:val=""/>
      <w:lvlJc w:val="left"/>
      <w:pPr>
        <w:ind w:left="720" w:hanging="360"/>
      </w:pPr>
      <w:rPr>
        <w:rFonts w:ascii="Symbol" w:hAnsi="Symbol" w:hint="default"/>
      </w:rPr>
    </w:lvl>
    <w:lvl w:ilvl="1" w:tplc="9360718E">
      <w:start w:val="1"/>
      <w:numFmt w:val="bullet"/>
      <w:lvlText w:val="o"/>
      <w:lvlJc w:val="left"/>
      <w:pPr>
        <w:ind w:left="1440" w:hanging="360"/>
      </w:pPr>
      <w:rPr>
        <w:rFonts w:ascii="Courier New" w:hAnsi="Courier New" w:cs="Courier New" w:hint="default"/>
        <w:color w:val="auto"/>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5"/>
  </w:num>
  <w:num w:numId="2">
    <w:abstractNumId w:val="9"/>
  </w:num>
  <w:num w:numId="3">
    <w:abstractNumId w:val="6"/>
  </w:num>
  <w:num w:numId="4">
    <w:abstractNumId w:val="0"/>
  </w:num>
  <w:num w:numId="5">
    <w:abstractNumId w:val="4"/>
  </w:num>
  <w:num w:numId="6">
    <w:abstractNumId w:val="8"/>
  </w:num>
  <w:num w:numId="7">
    <w:abstractNumId w:val="7"/>
  </w:num>
  <w:num w:numId="8">
    <w:abstractNumId w:val="3"/>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8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53E58"/>
    <w:rsid w:val="00076A70"/>
    <w:rsid w:val="00153613"/>
    <w:rsid w:val="00247B75"/>
    <w:rsid w:val="00260875"/>
    <w:rsid w:val="002B4C6F"/>
    <w:rsid w:val="003B57CB"/>
    <w:rsid w:val="003B5CEE"/>
    <w:rsid w:val="004122D9"/>
    <w:rsid w:val="004711C6"/>
    <w:rsid w:val="004A08C2"/>
    <w:rsid w:val="004B6026"/>
    <w:rsid w:val="004C6CE2"/>
    <w:rsid w:val="005550D1"/>
    <w:rsid w:val="005E3A8C"/>
    <w:rsid w:val="005F5C5B"/>
    <w:rsid w:val="006004C9"/>
    <w:rsid w:val="00655F3A"/>
    <w:rsid w:val="00680D50"/>
    <w:rsid w:val="006A13FE"/>
    <w:rsid w:val="008052F5"/>
    <w:rsid w:val="00811F53"/>
    <w:rsid w:val="008A43D1"/>
    <w:rsid w:val="00993C1B"/>
    <w:rsid w:val="00B53E58"/>
    <w:rsid w:val="00B5567B"/>
    <w:rsid w:val="00BE5A44"/>
    <w:rsid w:val="00C52A95"/>
    <w:rsid w:val="00CF4364"/>
    <w:rsid w:val="00D66296"/>
    <w:rsid w:val="00D74B2E"/>
    <w:rsid w:val="00DD3DB3"/>
    <w:rsid w:val="00E40198"/>
    <w:rsid w:val="00E43D7C"/>
    <w:rsid w:val="00F46007"/>
    <w:rsid w:val="00F52F57"/>
    <w:rsid w:val="00F86DF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30CC8317"/>
  <w15:chartTrackingRefBased/>
  <w15:docId w15:val="{FFEA4DB9-1F21-429B-B2CC-423B60B0908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imes New Roman"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52F57"/>
    <w:pPr>
      <w:spacing w:after="120" w:line="360" w:lineRule="auto"/>
    </w:pPr>
    <w:rPr>
      <w:rFonts w:ascii="Times" w:hAnsi="Times" w:cs="Times New Roman"/>
      <w:sz w:val="24"/>
      <w:szCs w:val="20"/>
    </w:rPr>
  </w:style>
  <w:style w:type="paragraph" w:styleId="Heading1">
    <w:name w:val="heading 1"/>
    <w:basedOn w:val="Normal"/>
    <w:next w:val="Normal"/>
    <w:link w:val="Heading1Char"/>
    <w:autoRedefine/>
    <w:uiPriority w:val="9"/>
    <w:qFormat/>
    <w:rsid w:val="005F5C5B"/>
    <w:pPr>
      <w:keepNext/>
      <w:keepLines/>
      <w:spacing w:before="240"/>
      <w:outlineLvl w:val="0"/>
    </w:pPr>
    <w:rPr>
      <w:rFonts w:eastAsiaTheme="majorEastAsia" w:cstheme="majorBidi"/>
      <w:b/>
      <w:sz w:val="28"/>
      <w:szCs w:val="32"/>
    </w:rPr>
  </w:style>
  <w:style w:type="paragraph" w:styleId="Heading2">
    <w:name w:val="heading 2"/>
    <w:basedOn w:val="Normal"/>
    <w:next w:val="Normal"/>
    <w:link w:val="Heading2Char"/>
    <w:uiPriority w:val="9"/>
    <w:unhideWhenUsed/>
    <w:qFormat/>
    <w:rsid w:val="005F5C5B"/>
    <w:pPr>
      <w:keepNext/>
      <w:keepLines/>
      <w:spacing w:before="40"/>
      <w:outlineLvl w:val="1"/>
    </w:pPr>
    <w:rPr>
      <w:sz w:val="26"/>
      <w:szCs w:val="26"/>
      <w:u w:val="single"/>
    </w:rPr>
  </w:style>
  <w:style w:type="paragraph" w:styleId="Heading3">
    <w:name w:val="heading 3"/>
    <w:basedOn w:val="Normal"/>
    <w:next w:val="Normal"/>
    <w:link w:val="Heading3Char"/>
    <w:uiPriority w:val="9"/>
    <w:unhideWhenUsed/>
    <w:qFormat/>
    <w:rsid w:val="004B6026"/>
    <w:pPr>
      <w:keepNext/>
      <w:keepLines/>
      <w:spacing w:before="40" w:after="0"/>
      <w:outlineLvl w:val="2"/>
    </w:pPr>
    <w:rPr>
      <w:rFonts w:ascii="Times New Roman" w:eastAsiaTheme="majorEastAsia" w:hAnsi="Times New Roman" w:cstheme="majorBidi"/>
      <w:i/>
      <w:szCs w:val="24"/>
    </w:rPr>
  </w:style>
  <w:style w:type="paragraph" w:styleId="Heading4">
    <w:name w:val="heading 4"/>
    <w:basedOn w:val="Normal"/>
    <w:next w:val="Normal"/>
    <w:link w:val="Heading4Char"/>
    <w:uiPriority w:val="9"/>
    <w:semiHidden/>
    <w:unhideWhenUsed/>
    <w:qFormat/>
    <w:rsid w:val="004B6026"/>
    <w:pPr>
      <w:keepNext/>
      <w:keepLines/>
      <w:spacing w:before="40" w:after="0"/>
      <w:outlineLvl w:val="3"/>
    </w:pPr>
    <w:rPr>
      <w:rFonts w:eastAsiaTheme="majorEastAsia" w:cstheme="majorBidi"/>
      <w:b/>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55F3A"/>
    <w:pPr>
      <w:spacing w:line="240" w:lineRule="auto"/>
      <w:ind w:left="720"/>
      <w:contextualSpacing/>
    </w:pPr>
  </w:style>
  <w:style w:type="paragraph" w:styleId="Caption">
    <w:name w:val="caption"/>
    <w:basedOn w:val="Normal"/>
    <w:next w:val="Normal"/>
    <w:uiPriority w:val="35"/>
    <w:unhideWhenUsed/>
    <w:qFormat/>
    <w:rsid w:val="005F5C5B"/>
    <w:pPr>
      <w:spacing w:after="200"/>
    </w:pPr>
    <w:rPr>
      <w:iCs/>
      <w:szCs w:val="18"/>
    </w:rPr>
  </w:style>
  <w:style w:type="character" w:customStyle="1" w:styleId="Heading1Char">
    <w:name w:val="Heading 1 Char"/>
    <w:basedOn w:val="DefaultParagraphFont"/>
    <w:link w:val="Heading1"/>
    <w:uiPriority w:val="9"/>
    <w:rsid w:val="005F5C5B"/>
    <w:rPr>
      <w:rFonts w:ascii="Times New Roman" w:eastAsiaTheme="majorEastAsia" w:hAnsi="Times New Roman" w:cstheme="majorBidi"/>
      <w:b/>
      <w:sz w:val="28"/>
      <w:szCs w:val="32"/>
    </w:rPr>
  </w:style>
  <w:style w:type="character" w:customStyle="1" w:styleId="Heading2Char">
    <w:name w:val="Heading 2 Char"/>
    <w:basedOn w:val="DefaultParagraphFont"/>
    <w:link w:val="Heading2"/>
    <w:uiPriority w:val="9"/>
    <w:rsid w:val="005F5C5B"/>
    <w:rPr>
      <w:rFonts w:ascii="Times" w:eastAsia="Times New Roman" w:hAnsi="Times" w:cs="Times New Roman"/>
      <w:sz w:val="26"/>
      <w:szCs w:val="26"/>
      <w:u w:val="single"/>
    </w:rPr>
  </w:style>
  <w:style w:type="paragraph" w:customStyle="1" w:styleId="Tabletext">
    <w:name w:val="Table text"/>
    <w:basedOn w:val="Normal"/>
    <w:qFormat/>
    <w:rsid w:val="005F5C5B"/>
    <w:pPr>
      <w:spacing w:line="240" w:lineRule="auto"/>
    </w:pPr>
    <w:rPr>
      <w:rFonts w:eastAsia="Calibri"/>
      <w:sz w:val="20"/>
    </w:rPr>
  </w:style>
  <w:style w:type="paragraph" w:styleId="Subtitle">
    <w:name w:val="Subtitle"/>
    <w:basedOn w:val="Normal"/>
    <w:next w:val="Normal"/>
    <w:link w:val="SubtitleChar"/>
    <w:qFormat/>
    <w:rsid w:val="008052F5"/>
    <w:pPr>
      <w:numPr>
        <w:ilvl w:val="1"/>
      </w:numPr>
      <w:ind w:firstLine="720"/>
    </w:pPr>
    <w:rPr>
      <w:rFonts w:eastAsiaTheme="minorEastAsia"/>
      <w:color w:val="0000FF"/>
    </w:rPr>
  </w:style>
  <w:style w:type="character" w:customStyle="1" w:styleId="SubtitleChar">
    <w:name w:val="Subtitle Char"/>
    <w:basedOn w:val="DefaultParagraphFont"/>
    <w:link w:val="Subtitle"/>
    <w:rsid w:val="008052F5"/>
    <w:rPr>
      <w:rFonts w:ascii="Times New Roman" w:eastAsiaTheme="minorEastAsia" w:hAnsi="Times New Roman"/>
      <w:color w:val="0000FF"/>
      <w:sz w:val="24"/>
      <w:lang w:val="en-US"/>
    </w:rPr>
  </w:style>
  <w:style w:type="paragraph" w:customStyle="1" w:styleId="Paragraph">
    <w:name w:val="Paragraph"/>
    <w:basedOn w:val="Normal"/>
    <w:qFormat/>
    <w:rsid w:val="008052F5"/>
  </w:style>
  <w:style w:type="paragraph" w:customStyle="1" w:styleId="EndNoteBibliography">
    <w:name w:val="EndNote Bibliography"/>
    <w:basedOn w:val="Normal"/>
    <w:link w:val="EndNoteBibliographyChar"/>
    <w:autoRedefine/>
    <w:qFormat/>
    <w:rsid w:val="003B5CEE"/>
    <w:pPr>
      <w:spacing w:after="0" w:line="480" w:lineRule="auto"/>
    </w:pPr>
    <w:rPr>
      <w:rFonts w:ascii="Times New Roman" w:hAnsi="Times New Roman"/>
      <w:noProof/>
      <w:szCs w:val="32"/>
      <w:lang w:val="en-US"/>
    </w:rPr>
  </w:style>
  <w:style w:type="character" w:customStyle="1" w:styleId="EndNoteBibliographyChar">
    <w:name w:val="EndNote Bibliography Char"/>
    <w:basedOn w:val="DefaultParagraphFont"/>
    <w:link w:val="EndNoteBibliography"/>
    <w:rsid w:val="003B5CEE"/>
    <w:rPr>
      <w:rFonts w:ascii="Times New Roman" w:hAnsi="Times New Roman" w:cs="Times New Roman"/>
      <w:noProof/>
      <w:sz w:val="24"/>
      <w:szCs w:val="32"/>
      <w:lang w:val="en-US"/>
    </w:rPr>
  </w:style>
  <w:style w:type="character" w:customStyle="1" w:styleId="Heading3Char">
    <w:name w:val="Heading 3 Char"/>
    <w:basedOn w:val="DefaultParagraphFont"/>
    <w:link w:val="Heading3"/>
    <w:uiPriority w:val="9"/>
    <w:rsid w:val="004B6026"/>
    <w:rPr>
      <w:rFonts w:ascii="Times New Roman" w:eastAsiaTheme="majorEastAsia" w:hAnsi="Times New Roman" w:cstheme="majorBidi"/>
      <w:i/>
      <w:sz w:val="24"/>
      <w:szCs w:val="24"/>
    </w:rPr>
  </w:style>
  <w:style w:type="character" w:customStyle="1" w:styleId="Heading4Char">
    <w:name w:val="Heading 4 Char"/>
    <w:basedOn w:val="DefaultParagraphFont"/>
    <w:link w:val="Heading4"/>
    <w:uiPriority w:val="9"/>
    <w:semiHidden/>
    <w:rsid w:val="004B6026"/>
    <w:rPr>
      <w:rFonts w:ascii="Times" w:eastAsiaTheme="majorEastAsia" w:hAnsi="Times" w:cstheme="majorBidi"/>
      <w:b/>
      <w:iCs/>
      <w:sz w:val="24"/>
      <w:szCs w:val="20"/>
    </w:rPr>
  </w:style>
  <w:style w:type="paragraph" w:styleId="Header">
    <w:name w:val="header"/>
    <w:basedOn w:val="Normal"/>
    <w:link w:val="HeaderChar"/>
    <w:uiPriority w:val="99"/>
    <w:unhideWhenUsed/>
    <w:rsid w:val="00B53E58"/>
    <w:pPr>
      <w:tabs>
        <w:tab w:val="center" w:pos="4513"/>
        <w:tab w:val="right" w:pos="9026"/>
      </w:tabs>
      <w:spacing w:after="0" w:line="240" w:lineRule="auto"/>
    </w:pPr>
  </w:style>
  <w:style w:type="character" w:customStyle="1" w:styleId="HeaderChar">
    <w:name w:val="Header Char"/>
    <w:basedOn w:val="DefaultParagraphFont"/>
    <w:link w:val="Header"/>
    <w:uiPriority w:val="99"/>
    <w:rsid w:val="00B53E58"/>
    <w:rPr>
      <w:rFonts w:ascii="Times" w:hAnsi="Times" w:cs="Times New Roman"/>
      <w:sz w:val="24"/>
      <w:szCs w:val="20"/>
    </w:rPr>
  </w:style>
  <w:style w:type="paragraph" w:styleId="Footer">
    <w:name w:val="footer"/>
    <w:basedOn w:val="Normal"/>
    <w:link w:val="FooterChar"/>
    <w:uiPriority w:val="99"/>
    <w:unhideWhenUsed/>
    <w:rsid w:val="00B53E58"/>
    <w:pPr>
      <w:tabs>
        <w:tab w:val="center" w:pos="4513"/>
        <w:tab w:val="right" w:pos="9026"/>
      </w:tabs>
      <w:spacing w:after="0" w:line="240" w:lineRule="auto"/>
    </w:pPr>
  </w:style>
  <w:style w:type="character" w:customStyle="1" w:styleId="FooterChar">
    <w:name w:val="Footer Char"/>
    <w:basedOn w:val="DefaultParagraphFont"/>
    <w:link w:val="Footer"/>
    <w:uiPriority w:val="99"/>
    <w:rsid w:val="00B53E58"/>
    <w:rPr>
      <w:rFonts w:ascii="Times" w:hAnsi="Times" w:cs="Times New Roman"/>
      <w:sz w:val="24"/>
      <w:szCs w:val="20"/>
    </w:rPr>
  </w:style>
  <w:style w:type="character" w:styleId="Hyperlink">
    <w:name w:val="Hyperlink"/>
    <w:basedOn w:val="DefaultParagraphFont"/>
    <w:uiPriority w:val="99"/>
    <w:unhideWhenUsed/>
    <w:rsid w:val="00B53E58"/>
    <w:rPr>
      <w:color w:val="0563C1" w:themeColor="hyperlink"/>
      <w:u w:val="single"/>
    </w:rPr>
  </w:style>
  <w:style w:type="character" w:styleId="UnresolvedMention">
    <w:name w:val="Unresolved Mention"/>
    <w:basedOn w:val="DefaultParagraphFont"/>
    <w:uiPriority w:val="99"/>
    <w:semiHidden/>
    <w:unhideWhenUsed/>
    <w:rsid w:val="00B53E58"/>
    <w:rPr>
      <w:color w:val="605E5C"/>
      <w:shd w:val="clear" w:color="auto" w:fill="E1DFDD"/>
    </w:rPr>
  </w:style>
  <w:style w:type="character" w:styleId="CommentReference">
    <w:name w:val="annotation reference"/>
    <w:basedOn w:val="DefaultParagraphFont"/>
    <w:uiPriority w:val="99"/>
    <w:semiHidden/>
    <w:unhideWhenUsed/>
    <w:rsid w:val="002B4C6F"/>
    <w:rPr>
      <w:sz w:val="16"/>
      <w:szCs w:val="16"/>
    </w:rPr>
  </w:style>
  <w:style w:type="paragraph" w:styleId="CommentText">
    <w:name w:val="annotation text"/>
    <w:basedOn w:val="Normal"/>
    <w:link w:val="CommentTextChar"/>
    <w:uiPriority w:val="99"/>
    <w:semiHidden/>
    <w:unhideWhenUsed/>
    <w:rsid w:val="002B4C6F"/>
    <w:pPr>
      <w:spacing w:line="240" w:lineRule="auto"/>
    </w:pPr>
    <w:rPr>
      <w:sz w:val="20"/>
    </w:rPr>
  </w:style>
  <w:style w:type="character" w:customStyle="1" w:styleId="CommentTextChar">
    <w:name w:val="Comment Text Char"/>
    <w:basedOn w:val="DefaultParagraphFont"/>
    <w:link w:val="CommentText"/>
    <w:uiPriority w:val="99"/>
    <w:semiHidden/>
    <w:rsid w:val="002B4C6F"/>
    <w:rPr>
      <w:rFonts w:ascii="Times" w:hAnsi="Times" w:cs="Times New Roman"/>
      <w:sz w:val="20"/>
      <w:szCs w:val="20"/>
    </w:rPr>
  </w:style>
  <w:style w:type="paragraph" w:styleId="CommentSubject">
    <w:name w:val="annotation subject"/>
    <w:basedOn w:val="CommentText"/>
    <w:next w:val="CommentText"/>
    <w:link w:val="CommentSubjectChar"/>
    <w:uiPriority w:val="99"/>
    <w:semiHidden/>
    <w:unhideWhenUsed/>
    <w:rsid w:val="002B4C6F"/>
    <w:rPr>
      <w:b/>
      <w:bCs/>
    </w:rPr>
  </w:style>
  <w:style w:type="character" w:customStyle="1" w:styleId="CommentSubjectChar">
    <w:name w:val="Comment Subject Char"/>
    <w:basedOn w:val="CommentTextChar"/>
    <w:link w:val="CommentSubject"/>
    <w:uiPriority w:val="99"/>
    <w:semiHidden/>
    <w:rsid w:val="002B4C6F"/>
    <w:rPr>
      <w:rFonts w:ascii="Times" w:hAnsi="Times" w:cs="Times New Roman"/>
      <w:b/>
      <w:bCs/>
      <w:sz w:val="20"/>
      <w:szCs w:val="20"/>
    </w:rPr>
  </w:style>
  <w:style w:type="paragraph" w:styleId="BalloonText">
    <w:name w:val="Balloon Text"/>
    <w:basedOn w:val="Normal"/>
    <w:link w:val="BalloonTextChar"/>
    <w:uiPriority w:val="99"/>
    <w:semiHidden/>
    <w:unhideWhenUsed/>
    <w:rsid w:val="002B4C6F"/>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B4C6F"/>
    <w:rPr>
      <w:rFonts w:ascii="Segoe UI" w:hAnsi="Segoe UI" w:cs="Segoe UI"/>
      <w:sz w:val="18"/>
      <w:szCs w:val="18"/>
    </w:rPr>
  </w:style>
  <w:style w:type="paragraph" w:customStyle="1" w:styleId="BMJHeading3">
    <w:name w:val="BMJ Heading 3"/>
    <w:basedOn w:val="Heading3"/>
    <w:qFormat/>
    <w:rsid w:val="00811F53"/>
    <w:pPr>
      <w:spacing w:before="80" w:after="80"/>
    </w:pPr>
    <w:rPr>
      <w:i w:val="0"/>
      <w:sz w:val="26"/>
    </w:rPr>
  </w:style>
  <w:style w:type="table" w:styleId="TableGrid">
    <w:name w:val="Table Grid"/>
    <w:basedOn w:val="TableNormal"/>
    <w:uiPriority w:val="39"/>
    <w:rsid w:val="0015361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1">
    <w:name w:val="Table Grid1"/>
    <w:basedOn w:val="TableNormal"/>
    <w:next w:val="TableGrid"/>
    <w:uiPriority w:val="59"/>
    <w:rsid w:val="00BE5A44"/>
    <w:pPr>
      <w:spacing w:after="0" w:line="240" w:lineRule="auto"/>
    </w:pPr>
    <w:rPr>
      <w:rFonts w:eastAsiaTheme="minorHAnsi"/>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richard.amlot@phe.gov.uk"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louise.e.smith@kcl.ac.uk" TargetMode="Externa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5" Type="http://schemas.openxmlformats.org/officeDocument/2006/relationships/fontTable" Target="fontTable.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mailto:Gideon.rubin@kcl.ac.uk" TargetMode="External"/></Relationships>
</file>

<file path=word/_rels/header1.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emf"/><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7B765CF4DBFAF4F80B6A90F818ED323" ma:contentTypeVersion="13" ma:contentTypeDescription="Create a new document." ma:contentTypeScope="" ma:versionID="cff31a119faa7436bbf9903dab0dd905">
  <xsd:schema xmlns:xsd="http://www.w3.org/2001/XMLSchema" xmlns:xs="http://www.w3.org/2001/XMLSchema" xmlns:p="http://schemas.microsoft.com/office/2006/metadata/properties" xmlns:ns3="c654bb1c-410e-4a38-b505-6f07733a1d60" xmlns:ns4="0ea1de50-1813-4d1d-b536-0d1728e64504" targetNamespace="http://schemas.microsoft.com/office/2006/metadata/properties" ma:root="true" ma:fieldsID="51303e9344c03dbc554cb40a31641007" ns3:_="" ns4:_="">
    <xsd:import namespace="c654bb1c-410e-4a38-b505-6f07733a1d60"/>
    <xsd:import namespace="0ea1de50-1813-4d1d-b536-0d1728e64504"/>
    <xsd:element name="properties">
      <xsd:complexType>
        <xsd:sequence>
          <xsd:element name="documentManagement">
            <xsd:complexType>
              <xsd:all>
                <xsd:element ref="ns3:MediaServiceMetadata" minOccurs="0"/>
                <xsd:element ref="ns3:MediaServiceFastMetadata" minOccurs="0"/>
                <xsd:element ref="ns3:MediaServiceDateTaken" minOccurs="0"/>
                <xsd:element ref="ns3:MediaServiceAutoTags" minOccurs="0"/>
                <xsd:element ref="ns3:MediaServiceOCR" minOccurs="0"/>
                <xsd:element ref="ns3:MediaServiceLocation" minOccurs="0"/>
                <xsd:element ref="ns4:SharedWithUsers" minOccurs="0"/>
                <xsd:element ref="ns4:SharedWithDetails" minOccurs="0"/>
                <xsd:element ref="ns4:SharingHintHash" minOccurs="0"/>
                <xsd:element ref="ns3:MediaServiceGenerationTime" minOccurs="0"/>
                <xsd:element ref="ns3:MediaServiceEventHashCode" minOccurs="0"/>
                <xsd:element ref="ns3:MediaServiceAutoKeyPoints" minOccurs="0"/>
                <xsd:element ref="ns3: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c654bb1c-410e-4a38-b505-6f07733a1d60" elementFormDefault="qualified">
    <xsd:import namespace="http://schemas.microsoft.com/office/2006/documentManagement/types"/>
    <xsd:import namespace="http://schemas.microsoft.com/office/infopath/2007/PartnerControls"/>
    <xsd:element name="MediaServiceMetadata" ma:index="8" nillable="true" ma:displayName="MediaServiceMetadata" ma:description="" ma:hidden="true" ma:internalName="MediaServiceMetadata" ma:readOnly="true">
      <xsd:simpleType>
        <xsd:restriction base="dms:Note"/>
      </xsd:simpleType>
    </xsd:element>
    <xsd:element name="MediaServiceFastMetadata" ma:index="9" nillable="true" ma:displayName="MediaServiceFastMetadata" ma:description=""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MediaServiceAutoTags" ma:internalName="MediaServiceAutoTags" ma:readOnly="true">
      <xsd:simpleType>
        <xsd:restriction base="dms:Text"/>
      </xsd:simpleType>
    </xsd:element>
    <xsd:element name="MediaServiceOCR" ma:index="12" nillable="true" ma:displayName="MediaServiceOCR" ma:internalName="MediaServiceOCR" ma:readOnly="true">
      <xsd:simpleType>
        <xsd:restriction base="dms:Note">
          <xsd:maxLength value="255"/>
        </xsd:restriction>
      </xsd:simpleType>
    </xsd:element>
    <xsd:element name="MediaServiceLocation" ma:index="13" nillable="true" ma:displayName="MediaServiceLocation" ma:internalName="MediaServiceLocation"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AutoKeyPoints" ma:index="19" nillable="true" ma:displayName="MediaServiceAutoKeyPoints" ma:hidden="true" ma:internalName="MediaServiceAutoKeyPoints" ma:readOnly="true">
      <xsd:simpleType>
        <xsd:restriction base="dms:Note"/>
      </xsd:simpleType>
    </xsd:element>
    <xsd:element name="MediaServiceKeyPoints" ma:index="20"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0ea1de50-1813-4d1d-b536-0d1728e64504"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element name="SharingHintHash" ma:index="16"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35A99DFE-A8B9-4639-B9AD-87EA40155496}">
  <ds:schemaRefs>
    <ds:schemaRef ds:uri="http://schemas.microsoft.com/sharepoint/v3/contenttype/forms"/>
  </ds:schemaRefs>
</ds:datastoreItem>
</file>

<file path=customXml/itemProps2.xml><?xml version="1.0" encoding="utf-8"?>
<ds:datastoreItem xmlns:ds="http://schemas.openxmlformats.org/officeDocument/2006/customXml" ds:itemID="{93F5F400-59D2-465F-A53B-A2B7D7FC49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c654bb1c-410e-4a38-b505-6f07733a1d60"/>
    <ds:schemaRef ds:uri="0ea1de50-1813-4d1d-b536-0d1728e6450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4E5EC1B3-401D-444B-B4DA-6F92669EABC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10</Pages>
  <Words>2617</Words>
  <Characters>14923</Characters>
  <Application>Microsoft Office Word</Application>
  <DocSecurity>0</DocSecurity>
  <Lines>124</Lines>
  <Paragraphs>35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17505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Smith, Louise</dc:creator>
  <cp:keywords/>
  <dc:description/>
  <cp:lastModifiedBy>Smith, Louise</cp:lastModifiedBy>
  <cp:revision>7</cp:revision>
  <dcterms:created xsi:type="dcterms:W3CDTF">2020-04-18T18:30:00Z</dcterms:created>
  <dcterms:modified xsi:type="dcterms:W3CDTF">2020-04-19T12:36:00Z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0x010100B7B765CF4DBFAF4F80B6A90F818ED323</vt:lpwstr>
  </property>
</Properties>
</file>