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0610B7">
        <w:rPr>
          <w:b/>
          <w:sz w:val="28"/>
          <w:szCs w:val="28"/>
        </w:rPr>
        <w:t>3 November</w:t>
      </w:r>
      <w:r w:rsidR="009A642C">
        <w:rPr>
          <w:b/>
          <w:sz w:val="28"/>
          <w:szCs w:val="28"/>
        </w:rPr>
        <w:t xml:space="preserve"> 201</w:t>
      </w:r>
      <w:r w:rsidR="000610B7">
        <w:rPr>
          <w:b/>
          <w:sz w:val="28"/>
          <w:szCs w:val="28"/>
        </w:rPr>
        <w:t>7</w:t>
      </w:r>
      <w:r w:rsidR="00CC4AA1">
        <w:rPr>
          <w:b/>
          <w:sz w:val="28"/>
          <w:szCs w:val="28"/>
        </w:rPr>
        <w:t>)</w:t>
      </w:r>
    </w:p>
    <w:p w:rsidR="00403D36" w:rsidRDefault="00403D36">
      <w:pPr>
        <w:rPr>
          <w:b/>
        </w:rPr>
      </w:pPr>
    </w:p>
    <w:p w:rsidR="00403D36" w:rsidRDefault="00403D36">
      <w:pPr>
        <w:rPr>
          <w:b/>
        </w:rPr>
      </w:pPr>
      <w:r>
        <w:rPr>
          <w:b/>
        </w:rPr>
        <w:t>Our name</w:t>
      </w:r>
    </w:p>
    <w:p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 Research Health Protection Research Unit in Emergency Preparedness and Response at King’s College London</w:t>
      </w:r>
    </w:p>
    <w:p w:rsidR="009A3ED7" w:rsidRPr="009A3ED7" w:rsidRDefault="009A3ED7" w:rsidP="009A3ED7">
      <w:pPr>
        <w:pStyle w:val="ListParagraph"/>
        <w:rPr>
          <w:b/>
        </w:rPr>
      </w:pPr>
    </w:p>
    <w:p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rsidR="009A3ED7" w:rsidRPr="009A3ED7" w:rsidRDefault="009A3ED7" w:rsidP="009A3ED7">
      <w:pPr>
        <w:pStyle w:val="ListParagraph"/>
        <w:rPr>
          <w:b/>
        </w:rPr>
      </w:pPr>
    </w:p>
    <w:p w:rsidR="00C17E44" w:rsidRPr="00CE7787" w:rsidRDefault="00C17E44">
      <w:r w:rsidRPr="00CE7787">
        <w:rPr>
          <w:b/>
        </w:rPr>
        <w:t>Papers</w:t>
      </w:r>
    </w:p>
    <w:p w:rsidR="00C17E44" w:rsidRPr="00CE7787" w:rsidRDefault="00403D36" w:rsidP="00C17E44">
      <w:pPr>
        <w:pStyle w:val="ListParagraph"/>
        <w:numPr>
          <w:ilvl w:val="0"/>
          <w:numId w:val="2"/>
        </w:num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others may benefit. The best way to achieve this is via peer reviewed publication. There may be instances where this is not possible, for example where there are security issues. </w:t>
      </w:r>
      <w:r>
        <w:t>Aside from this, o</w:t>
      </w:r>
      <w:r w:rsidR="00895ABC" w:rsidRPr="00CE7787">
        <w:t xml:space="preserve">ur intention is for all research to result in a peer reviewed paper. </w:t>
      </w:r>
    </w:p>
    <w:p w:rsidR="00065C3E" w:rsidRPr="00CE7787" w:rsidRDefault="00065C3E" w:rsidP="00065C3E">
      <w:pPr>
        <w:pStyle w:val="ListParagraph"/>
      </w:pPr>
    </w:p>
    <w:p w:rsidR="00C17E44" w:rsidRPr="00775F08" w:rsidRDefault="00C17E44" w:rsidP="000610B7">
      <w:pPr>
        <w:pStyle w:val="ListParagraph"/>
        <w:numPr>
          <w:ilvl w:val="0"/>
          <w:numId w:val="2"/>
        </w:numPr>
        <w:rPr>
          <w:u w:val="single"/>
        </w:rPr>
      </w:pPr>
      <w:r w:rsidRPr="00CE7787">
        <w:rPr>
          <w:b/>
        </w:rPr>
        <w:t>Tell</w:t>
      </w:r>
      <w:r w:rsidR="00775F08">
        <w:rPr>
          <w:b/>
        </w:rPr>
        <w:t>ing</w:t>
      </w:r>
      <w:r w:rsidRPr="00CE7787">
        <w:rPr>
          <w:b/>
        </w:rPr>
        <w:t xml:space="preserve"> </w:t>
      </w:r>
      <w:r w:rsidR="00A27FD8">
        <w:rPr>
          <w:b/>
        </w:rPr>
        <w:t>people</w:t>
      </w:r>
      <w:r w:rsidR="00065C3E" w:rsidRPr="00CE7787">
        <w:rPr>
          <w:b/>
        </w:rPr>
        <w:t xml:space="preserve">: </w:t>
      </w:r>
      <w:r w:rsidR="00895ABC" w:rsidRPr="00CE7787">
        <w:t>Authors</w:t>
      </w:r>
      <w:r w:rsidR="00895ABC" w:rsidRPr="00CE7787">
        <w:rPr>
          <w:b/>
        </w:rPr>
        <w:t xml:space="preserve"> </w:t>
      </w:r>
      <w:r w:rsidR="00403D36">
        <w:t>must</w:t>
      </w:r>
      <w:r w:rsidR="00895ABC" w:rsidRPr="00CE7787">
        <w:t xml:space="preserve"> submit their </w:t>
      </w:r>
      <w:r w:rsidR="00403D36">
        <w:t xml:space="preserve">papers to </w:t>
      </w:r>
      <w:r w:rsidR="000610B7">
        <w:t>NIHR (</w:t>
      </w:r>
      <w:hyperlink r:id="rId8" w:history="1">
        <w:r w:rsidR="00A27FD8" w:rsidRPr="007978B1">
          <w:rPr>
            <w:rStyle w:val="Hyperlink"/>
          </w:rPr>
          <w:t>hpru-publications@nihr.ac.uk</w:t>
        </w:r>
      </w:hyperlink>
      <w:r w:rsidR="00A27FD8">
        <w:t xml:space="preserve">), </w:t>
      </w:r>
      <w:r w:rsidR="000610B7">
        <w:t>PHE</w:t>
      </w:r>
      <w:r w:rsidR="00A34FAC">
        <w:t xml:space="preserve"> (</w:t>
      </w:r>
      <w:hyperlink r:id="rId9" w:history="1">
        <w:r w:rsidR="00A27FD8" w:rsidRPr="007978B1">
          <w:rPr>
            <w:rStyle w:val="Hyperlink"/>
          </w:rPr>
          <w:t>Margaret.Mauchline@phe.gov.uk</w:t>
        </w:r>
      </w:hyperlink>
      <w:r w:rsidR="00A34FAC">
        <w:t xml:space="preserve">) </w:t>
      </w:r>
      <w:r w:rsidR="00A27FD8">
        <w:t>and the HPRU (</w:t>
      </w:r>
      <w:hyperlink r:id="rId10" w:history="1">
        <w:r w:rsidR="00A27FD8" w:rsidRPr="007978B1">
          <w:rPr>
            <w:rStyle w:val="Hyperlink"/>
          </w:rPr>
          <w:t>gideon.rubin@kcl.ac.uk</w:t>
        </w:r>
      </w:hyperlink>
      <w:r w:rsidR="00A27FD8">
        <w:t xml:space="preserve">) </w:t>
      </w:r>
      <w:r w:rsidR="00895ABC" w:rsidRPr="00CE7787">
        <w:t xml:space="preserve">at the same time as submission for publication or at least 28 days before the date intended for publication, whichever is earlier. </w:t>
      </w:r>
      <w:r w:rsidR="00895ABC" w:rsidRPr="00775F08">
        <w:rPr>
          <w:u w:val="single"/>
        </w:rPr>
        <w:t xml:space="preserve">Responsibility for this lies with the senior / corresponding author. </w:t>
      </w:r>
      <w:r w:rsidR="00A34FAC">
        <w:t xml:space="preserve">This is in addition to your normal university / PHE process for publication notification. </w:t>
      </w:r>
      <w:r w:rsidR="005A2D58">
        <w:t xml:space="preserve">Please also send </w:t>
      </w:r>
      <w:r w:rsidR="00A27FD8">
        <w:t>everyone</w:t>
      </w:r>
      <w:r w:rsidR="005A2D58">
        <w:t xml:space="preserve"> a </w:t>
      </w:r>
      <w:r w:rsidR="00A27FD8">
        <w:t>link to the</w:t>
      </w:r>
      <w:r w:rsidR="005A2D58">
        <w:t xml:space="preserve"> final version once published. </w:t>
      </w:r>
    </w:p>
    <w:p w:rsidR="00065C3E" w:rsidRPr="00CE7787" w:rsidRDefault="00065C3E" w:rsidP="00065C3E">
      <w:pPr>
        <w:pStyle w:val="ListParagraph"/>
      </w:pPr>
    </w:p>
    <w:p w:rsidR="000610B7" w:rsidRPr="000610B7" w:rsidRDefault="00C17E44" w:rsidP="000610B7">
      <w:pPr>
        <w:pStyle w:val="ListParagraph"/>
        <w:numPr>
          <w:ilvl w:val="0"/>
          <w:numId w:val="2"/>
        </w:numPr>
      </w:pPr>
      <w:r w:rsidRPr="00CE7787">
        <w:rPr>
          <w:b/>
        </w:rPr>
        <w:t>Disclaimer</w:t>
      </w:r>
      <w:r w:rsidR="00065C3E" w:rsidRPr="00CE7787">
        <w:t xml:space="preserve"> </w:t>
      </w:r>
      <w:r w:rsidR="000610B7" w:rsidRPr="004F019F">
        <w:rPr>
          <w:b/>
        </w:rPr>
        <w:t>for work directly funded</w:t>
      </w:r>
      <w:r w:rsidR="000610B7">
        <w:t xml:space="preserve"> </w:t>
      </w:r>
      <w:r w:rsidR="000610B7" w:rsidRPr="00A27FD8">
        <w:rPr>
          <w:b/>
        </w:rPr>
        <w:t>by NIHR</w:t>
      </w:r>
      <w:r w:rsidR="00065C3E" w:rsidRPr="00CE7787">
        <w:t xml:space="preserve">: </w:t>
      </w:r>
      <w:r w:rsidR="000610B7">
        <w:t>“</w:t>
      </w:r>
      <w:r w:rsidR="000610B7" w:rsidRPr="000610B7">
        <w:rPr>
          <w:rFonts w:cs="Arial"/>
          <w:color w:val="000000"/>
        </w:rPr>
        <w:t xml:space="preserve">The research was funded by the National Institute for Health Research Health Protection Research Unit (NIHR HPRU) in </w:t>
      </w:r>
      <w:r w:rsidR="000610B7">
        <w:rPr>
          <w:rFonts w:cs="Arial"/>
          <w:color w:val="000000"/>
        </w:rPr>
        <w:t>Emergency Preparedness and Response</w:t>
      </w:r>
      <w:r w:rsidR="000610B7" w:rsidRPr="000610B7">
        <w:rPr>
          <w:rFonts w:cs="Arial"/>
          <w:color w:val="000000"/>
        </w:rPr>
        <w:t xml:space="preserve"> at </w:t>
      </w:r>
      <w:r w:rsidR="000610B7">
        <w:rPr>
          <w:rFonts w:cs="Arial"/>
          <w:color w:val="000000"/>
        </w:rPr>
        <w:t>King’s College London</w:t>
      </w:r>
      <w:r w:rsidR="000610B7" w:rsidRPr="000610B7">
        <w:rPr>
          <w:rFonts w:cs="Arial"/>
          <w:color w:val="000000"/>
        </w:rPr>
        <w:t xml:space="preserve"> in partnership with Public Health England (PHE), in collaboration with</w:t>
      </w:r>
      <w:r w:rsidR="000610B7">
        <w:rPr>
          <w:rFonts w:cs="Arial"/>
          <w:color w:val="000000"/>
        </w:rPr>
        <w:t xml:space="preserve"> the University of East Anglia and Newcastle University.</w:t>
      </w:r>
      <w:r w:rsidR="000610B7" w:rsidRPr="000610B7">
        <w:rPr>
          <w:rFonts w:cs="Arial"/>
          <w:color w:val="000000"/>
        </w:rPr>
        <w:t xml:space="preserve"> The views expressed are those of the author(s) and not necessarily those of the NHS, the NIHR, the Department of Health or Public Health England.</w:t>
      </w:r>
      <w:r w:rsidR="000610B7">
        <w:rPr>
          <w:rFonts w:cs="Arial"/>
          <w:color w:val="000000"/>
        </w:rPr>
        <w:t>”</w:t>
      </w:r>
    </w:p>
    <w:p w:rsidR="000610B7" w:rsidRDefault="000610B7" w:rsidP="000610B7">
      <w:pPr>
        <w:pStyle w:val="ListParagraph"/>
      </w:pPr>
    </w:p>
    <w:p w:rsidR="000610B7" w:rsidRDefault="000610B7" w:rsidP="000610B7">
      <w:pPr>
        <w:pStyle w:val="ListParagraph"/>
        <w:numPr>
          <w:ilvl w:val="0"/>
          <w:numId w:val="2"/>
        </w:numPr>
      </w:pPr>
      <w:r w:rsidRPr="00A27FD8">
        <w:rPr>
          <w:b/>
        </w:rPr>
        <w:t>Disclaimer</w:t>
      </w:r>
      <w:r w:rsidRPr="00A27FD8">
        <w:rPr>
          <w:b/>
        </w:rPr>
        <w:t xml:space="preserve"> </w:t>
      </w:r>
      <w:r w:rsidR="00D94675" w:rsidRPr="00A27FD8">
        <w:rPr>
          <w:b/>
        </w:rPr>
        <w:t xml:space="preserve">for work </w:t>
      </w:r>
      <w:r w:rsidR="00D94675" w:rsidRPr="00A27FD8">
        <w:rPr>
          <w:b/>
        </w:rPr>
        <w:t>in</w:t>
      </w:r>
      <w:r w:rsidR="00D94675" w:rsidRPr="00A27FD8">
        <w:rPr>
          <w:b/>
        </w:rPr>
        <w:t xml:space="preserve">directly </w:t>
      </w:r>
      <w:r w:rsidR="00D94675" w:rsidRPr="00A27FD8">
        <w:rPr>
          <w:b/>
        </w:rPr>
        <w:t>supported</w:t>
      </w:r>
      <w:r w:rsidR="00D94675">
        <w:t xml:space="preserve"> </w:t>
      </w:r>
      <w:r w:rsidR="00D94675" w:rsidRPr="00A27FD8">
        <w:rPr>
          <w:b/>
        </w:rPr>
        <w:t>by NIHR</w:t>
      </w:r>
      <w:r w:rsidR="00A27FD8">
        <w:t xml:space="preserve"> (e.g. </w:t>
      </w:r>
      <w:r w:rsidR="00D94675" w:rsidRPr="00D94675">
        <w:t>when a researcher’s salary is paid by the HPRU</w:t>
      </w:r>
      <w:r w:rsidR="00A27FD8">
        <w:t>,</w:t>
      </w:r>
      <w:r w:rsidR="00D94675" w:rsidRPr="00D94675">
        <w:t xml:space="preserve"> but the project is not funded by it</w:t>
      </w:r>
      <w:r w:rsidR="00A27FD8">
        <w:t>)</w:t>
      </w:r>
      <w:r w:rsidR="00D94675" w:rsidRPr="00D94675">
        <w:t>:</w:t>
      </w:r>
      <w:r w:rsidR="00D94675" w:rsidRPr="00D94675">
        <w:t xml:space="preserve"> </w:t>
      </w:r>
      <w:r w:rsidR="00866076">
        <w:t>“</w:t>
      </w:r>
      <w:r w:rsidRPr="00A27FD8">
        <w:rPr>
          <w:rFonts w:cs="Arial"/>
          <w:color w:val="000000"/>
        </w:rPr>
        <w:t xml:space="preserve">[name of researcher] is affiliated to the National Institute for Health Research Health Protection Research Unit (NIHR HPRU) </w:t>
      </w:r>
      <w:r w:rsidR="00A27FD8" w:rsidRPr="00A27FD8">
        <w:rPr>
          <w:rFonts w:cs="Arial"/>
          <w:color w:val="000000"/>
        </w:rPr>
        <w:t>in Emergency Preparedness and Response at King’s College London in partnership with Public Health England (PHE), in collaboration with the Universit</w:t>
      </w:r>
      <w:bookmarkStart w:id="0" w:name="_GoBack"/>
      <w:bookmarkEnd w:id="0"/>
      <w:r w:rsidR="00A27FD8" w:rsidRPr="00A27FD8">
        <w:rPr>
          <w:rFonts w:cs="Arial"/>
          <w:color w:val="000000"/>
        </w:rPr>
        <w:t>y of East Anglia and Newcastle University</w:t>
      </w:r>
      <w:r w:rsidRPr="00A27FD8">
        <w:rPr>
          <w:rFonts w:cs="Arial"/>
          <w:color w:val="000000"/>
        </w:rPr>
        <w:t>. The views expressed are those of the author(s) and not necessarily those of the NHS, the NIHR, the Department of Health or Public Health England.</w:t>
      </w:r>
      <w:r w:rsidR="00A27FD8">
        <w:rPr>
          <w:rFonts w:cs="Arial"/>
          <w:color w:val="000000"/>
        </w:rPr>
        <w:t>”</w:t>
      </w:r>
    </w:p>
    <w:p w:rsidR="000610B7" w:rsidRDefault="000610B7" w:rsidP="000610B7">
      <w:pPr>
        <w:pStyle w:val="ListParagraph"/>
      </w:pPr>
    </w:p>
    <w:p w:rsidR="00C17E44" w:rsidRPr="00CE7787" w:rsidRDefault="00A27FD8" w:rsidP="00C17E44">
      <w:pPr>
        <w:pStyle w:val="ListParagraph"/>
        <w:numPr>
          <w:ilvl w:val="0"/>
          <w:numId w:val="2"/>
        </w:numPr>
      </w:pPr>
      <w:r w:rsidRPr="00A27FD8">
        <w:rPr>
          <w:b/>
        </w:rPr>
        <w:t>G</w:t>
      </w:r>
      <w:r w:rsidR="005A2D58" w:rsidRPr="00A27FD8">
        <w:rPr>
          <w:b/>
        </w:rPr>
        <w:t>rant number</w:t>
      </w:r>
      <w:r>
        <w:t>: If needed by a journal, our grant number</w:t>
      </w:r>
      <w:r w:rsidR="005A2D58">
        <w:t xml:space="preserve"> is HPRU-2012-10414.</w:t>
      </w:r>
    </w:p>
    <w:p w:rsidR="00065C3E" w:rsidRPr="00CE7787" w:rsidRDefault="00065C3E" w:rsidP="00065C3E">
      <w:pPr>
        <w:pStyle w:val="ListParagraph"/>
      </w:pPr>
    </w:p>
    <w:p w:rsidR="00C17E44" w:rsidRPr="00CE7787" w:rsidRDefault="00C17E44" w:rsidP="00C17E44">
      <w:pPr>
        <w:pStyle w:val="ListParagraph"/>
        <w:numPr>
          <w:ilvl w:val="0"/>
          <w:numId w:val="2"/>
        </w:numPr>
      </w:pPr>
      <w:r w:rsidRPr="00CE7787">
        <w:rPr>
          <w:b/>
        </w:rPr>
        <w:t>Logo</w:t>
      </w:r>
      <w:r w:rsidR="00065C3E" w:rsidRPr="00CE7787">
        <w:rPr>
          <w:b/>
        </w:rPr>
        <w:t xml:space="preserve">: </w:t>
      </w:r>
      <w:r w:rsidR="00065C3E" w:rsidRPr="00CE7787">
        <w:t>Research articles, papers and reports must not use the NIHR logotype</w:t>
      </w:r>
    </w:p>
    <w:p w:rsidR="00065C3E" w:rsidRPr="00CE7787" w:rsidRDefault="00065C3E" w:rsidP="00065C3E">
      <w:pPr>
        <w:pStyle w:val="ListParagraph"/>
      </w:pPr>
    </w:p>
    <w:p w:rsidR="00065C3E" w:rsidRPr="00CE7787" w:rsidRDefault="006E6A50" w:rsidP="00065C3E">
      <w:pPr>
        <w:pStyle w:val="ListParagraph"/>
        <w:numPr>
          <w:ilvl w:val="0"/>
          <w:numId w:val="2"/>
        </w:numPr>
      </w:pPr>
      <w:r w:rsidRPr="00CE7787">
        <w:rPr>
          <w:b/>
        </w:rPr>
        <w:t>Gold o</w:t>
      </w:r>
      <w:r w:rsidR="00C17E44" w:rsidRPr="00CE7787">
        <w:rPr>
          <w:b/>
        </w:rPr>
        <w:t>pen access</w:t>
      </w:r>
      <w:r w:rsidRPr="00CE7787">
        <w:rPr>
          <w:b/>
        </w:rPr>
        <w:t xml:space="preserve">: </w:t>
      </w:r>
      <w:r w:rsidRPr="00CE7787">
        <w:t>NIHR policy says: “</w:t>
      </w:r>
      <w:r w:rsidRPr="00CE7787">
        <w:rPr>
          <w:rFonts w:cs="Arial"/>
          <w:color w:val="000000"/>
        </w:rPr>
        <w:t>Any peer-reviewed research articles supported in whole or in part by NIHR funding, that are submitted for publication and published from 1st April 2014 should be made available under the “Gold” approach to Open Access – which means the report is free at the time of publication. This includes review articles not commissioned by publishers, final reports or executive summaries.”</w:t>
      </w:r>
      <w:r w:rsidR="00065C3E" w:rsidRPr="00CE7787">
        <w:rPr>
          <w:rFonts w:cs="Arial"/>
          <w:color w:val="000000"/>
        </w:rPr>
        <w:t xml:space="preserve"> </w:t>
      </w:r>
    </w:p>
    <w:p w:rsidR="006E6A50" w:rsidRPr="00CE7787" w:rsidRDefault="006E6A50" w:rsidP="006E6A50">
      <w:pPr>
        <w:pStyle w:val="ListParagraph"/>
      </w:pPr>
    </w:p>
    <w:p w:rsidR="00C17E44" w:rsidRPr="00CE7787" w:rsidRDefault="00C17E44" w:rsidP="006E6A50">
      <w:pPr>
        <w:pStyle w:val="ListParagraph"/>
        <w:numPr>
          <w:ilvl w:val="0"/>
          <w:numId w:val="2"/>
        </w:numPr>
      </w:pPr>
      <w:r w:rsidRPr="00CE7787">
        <w:rPr>
          <w:b/>
        </w:rPr>
        <w:t>Repository</w:t>
      </w:r>
      <w:r w:rsidR="006E6A50" w:rsidRPr="00CE7787">
        <w:rPr>
          <w:b/>
        </w:rPr>
        <w:t xml:space="preserve">: </w:t>
      </w:r>
      <w:r w:rsidR="00212722">
        <w:t>P</w:t>
      </w:r>
      <w:r w:rsidR="006E6A50" w:rsidRPr="00CE7787">
        <w:t xml:space="preserve">apers should be deposited in Europe Pub Med Central. </w:t>
      </w:r>
      <w:hyperlink r:id="rId11" w:history="1">
        <w:r w:rsidR="006E6A50" w:rsidRPr="00CE7787">
          <w:rPr>
            <w:rStyle w:val="Hyperlink"/>
          </w:rPr>
          <w:t>http://www.nihr.ac.uk/research/Pages/Research_Open_Access_Policy_Statement.aspx</w:t>
        </w:r>
      </w:hyperlink>
    </w:p>
    <w:p w:rsidR="006E6A50" w:rsidRPr="00CE7787" w:rsidRDefault="006E6A50" w:rsidP="006E6A50">
      <w:pPr>
        <w:pStyle w:val="ListParagraph"/>
      </w:pPr>
    </w:p>
    <w:p w:rsidR="00403D36" w:rsidRDefault="00C17E44" w:rsidP="00403D36">
      <w:pPr>
        <w:pStyle w:val="ListParagraph"/>
        <w:numPr>
          <w:ilvl w:val="0"/>
          <w:numId w:val="1"/>
        </w:numPr>
        <w:rPr>
          <w:b/>
        </w:rPr>
      </w:pPr>
      <w:r w:rsidRPr="00403D36">
        <w:rPr>
          <w:b/>
        </w:rPr>
        <w:t>The same rules apply</w:t>
      </w:r>
      <w:r w:rsidR="00403D36" w:rsidRPr="00403D36">
        <w:rPr>
          <w:b/>
        </w:rPr>
        <w:t xml:space="preserve"> to abstracts, posters, presentations etc</w:t>
      </w:r>
      <w:r w:rsidRPr="00403D36">
        <w:rPr>
          <w:b/>
        </w:rPr>
        <w:t xml:space="preserve">: </w:t>
      </w:r>
      <w:r w:rsidRPr="00403D36">
        <w:t>The guidelines above apply irrespective of the publication format.</w:t>
      </w:r>
      <w:r w:rsidRPr="00403D36">
        <w:rPr>
          <w:b/>
        </w:rPr>
        <w:t xml:space="preserve"> </w:t>
      </w:r>
    </w:p>
    <w:p w:rsidR="00A34FAC" w:rsidRDefault="00A34FAC" w:rsidP="00EB6D85">
      <w:pPr>
        <w:rPr>
          <w:b/>
        </w:rPr>
      </w:pPr>
    </w:p>
    <w:p w:rsidR="00EB6D85" w:rsidRPr="00EB6D85" w:rsidRDefault="004B5691" w:rsidP="00EB6D85">
      <w:pPr>
        <w:rPr>
          <w:b/>
        </w:rPr>
      </w:pPr>
      <w:r>
        <w:rPr>
          <w:b/>
        </w:rPr>
        <w:t xml:space="preserve">Guidance on </w:t>
      </w:r>
      <w:r w:rsidR="00775F08">
        <w:rPr>
          <w:b/>
        </w:rPr>
        <w:t xml:space="preserve">criteria for </w:t>
      </w:r>
      <w:r>
        <w:rPr>
          <w:b/>
        </w:rPr>
        <w:t>a</w:t>
      </w:r>
      <w:r w:rsidR="00EB6D85" w:rsidRPr="00EB6D85">
        <w:rPr>
          <w:b/>
        </w:rPr>
        <w:t>uthorship</w:t>
      </w:r>
    </w:p>
    <w:p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rsidR="004B5691" w:rsidRPr="004B5691" w:rsidRDefault="004B5691" w:rsidP="004B5691">
      <w:pPr>
        <w:pStyle w:val="ListParagraph"/>
        <w:rPr>
          <w:rFonts w:eastAsia="Times New Roman" w:cs="Tahoma"/>
          <w:color w:val="000000"/>
          <w:shd w:val="clear" w:color="auto" w:fill="FFFFFF"/>
          <w:lang w:eastAsia="en-GB"/>
        </w:rPr>
      </w:pPr>
    </w:p>
    <w:p w:rsidR="00EB6D85" w:rsidRPr="00775F0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on the basis of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p>
    <w:p w:rsidR="00775F08" w:rsidRPr="00775F08" w:rsidRDefault="00775F08" w:rsidP="00775F08">
      <w:pPr>
        <w:pStyle w:val="ListParagraph"/>
        <w:rPr>
          <w:b/>
        </w:rPr>
      </w:pPr>
    </w:p>
    <w:p w:rsidR="00775F08" w:rsidRPr="009A3ED7" w:rsidRDefault="00775F08" w:rsidP="00775F08">
      <w:pPr>
        <w:rPr>
          <w:b/>
        </w:rPr>
      </w:pPr>
      <w:r>
        <w:rPr>
          <w:b/>
        </w:rPr>
        <w:t>Press releases, digital engagement, approaching ministers or DH, branding</w:t>
      </w:r>
    </w:p>
    <w:p w:rsidR="00775F08" w:rsidRPr="00021817" w:rsidRDefault="00775F08" w:rsidP="00775F08">
      <w:pPr>
        <w:pStyle w:val="ListParagraph"/>
        <w:numPr>
          <w:ilvl w:val="0"/>
          <w:numId w:val="1"/>
        </w:numPr>
        <w:rPr>
          <w:b/>
        </w:rPr>
      </w:pPr>
      <w:r w:rsidRPr="009A3ED7">
        <w:rPr>
          <w:b/>
        </w:rPr>
        <w:t xml:space="preserve">Follow the NIHR rules: </w:t>
      </w:r>
      <w:r>
        <w:t xml:space="preserve">NIHR has issued guidance on all of these issues in a document called </w:t>
      </w:r>
      <w:r w:rsidRPr="00403D36">
        <w:t>“</w:t>
      </w:r>
      <w:r w:rsidRPr="009A3ED7">
        <w:rPr>
          <w:bCs/>
        </w:rPr>
        <w:t>Health Protection Research Units Guide to using the NIHR identity</w:t>
      </w:r>
      <w:r>
        <w:rPr>
          <w:bCs/>
        </w:rPr>
        <w:t>.</w:t>
      </w:r>
      <w:r w:rsidRPr="009A3ED7">
        <w:rPr>
          <w:bCs/>
        </w:rPr>
        <w:t xml:space="preserve">” </w:t>
      </w:r>
      <w:r>
        <w:rPr>
          <w:bCs/>
        </w:rPr>
        <w:t xml:space="preserve">You must follow this. </w:t>
      </w:r>
    </w:p>
    <w:p w:rsidR="00775F08" w:rsidRPr="00021817" w:rsidRDefault="00775F08" w:rsidP="00775F08">
      <w:pPr>
        <w:pStyle w:val="ListParagraph"/>
        <w:rPr>
          <w:b/>
        </w:rPr>
      </w:pPr>
    </w:p>
    <w:p w:rsidR="00775F08" w:rsidRPr="00BC7E20" w:rsidRDefault="00775F08" w:rsidP="00775F08">
      <w:pPr>
        <w:pStyle w:val="ListParagraph"/>
        <w:numPr>
          <w:ilvl w:val="0"/>
          <w:numId w:val="1"/>
        </w:numPr>
        <w:spacing w:before="100" w:beforeAutospacing="1" w:after="100" w:afterAutospacing="1"/>
        <w:rPr>
          <w:b/>
        </w:rPr>
      </w:pPr>
      <w:r w:rsidRPr="00BC7E20">
        <w:rPr>
          <w:b/>
        </w:rPr>
        <w:t>Tell</w:t>
      </w:r>
      <w:r w:rsidR="00BC7E20">
        <w:rPr>
          <w:b/>
        </w:rPr>
        <w:t>ing</w:t>
      </w:r>
      <w:r w:rsidRPr="00BC7E20">
        <w:rPr>
          <w:b/>
        </w:rPr>
        <w:t xml:space="preserve"> us: </w:t>
      </w:r>
      <w:r>
        <w:t>Tell us as early as possible before releasing anything.</w:t>
      </w:r>
    </w:p>
    <w:sectPr w:rsidR="00775F08" w:rsidRPr="00BC7E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83" w:rsidRDefault="00232183" w:rsidP="00021817">
      <w:pPr>
        <w:spacing w:after="0" w:line="240" w:lineRule="auto"/>
      </w:pPr>
      <w:r>
        <w:separator/>
      </w:r>
    </w:p>
  </w:endnote>
  <w:endnote w:type="continuationSeparator" w:id="0">
    <w:p w:rsidR="00232183" w:rsidRDefault="00232183"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33011"/>
      <w:docPartObj>
        <w:docPartGallery w:val="Page Numbers (Bottom of Page)"/>
        <w:docPartUnique/>
      </w:docPartObj>
    </w:sdtPr>
    <w:sdtEndPr>
      <w:rPr>
        <w:noProof/>
      </w:rPr>
    </w:sdtEndPr>
    <w:sdtContent>
      <w:p w:rsidR="00021817" w:rsidRDefault="00021817">
        <w:pPr>
          <w:pStyle w:val="Footer"/>
          <w:jc w:val="center"/>
        </w:pPr>
        <w:r>
          <w:fldChar w:fldCharType="begin"/>
        </w:r>
        <w:r>
          <w:instrText xml:space="preserve"> PAGE   \* MERGEFORMAT </w:instrText>
        </w:r>
        <w:r>
          <w:fldChar w:fldCharType="separate"/>
        </w:r>
        <w:r w:rsidR="00232183">
          <w:rPr>
            <w:noProof/>
          </w:rPr>
          <w:t>1</w:t>
        </w:r>
        <w:r>
          <w:rPr>
            <w:noProof/>
          </w:rPr>
          <w:fldChar w:fldCharType="end"/>
        </w:r>
      </w:p>
    </w:sdtContent>
  </w:sdt>
  <w:p w:rsidR="00021817" w:rsidRDefault="0002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83" w:rsidRDefault="00232183" w:rsidP="00021817">
      <w:pPr>
        <w:spacing w:after="0" w:line="240" w:lineRule="auto"/>
      </w:pPr>
      <w:r>
        <w:separator/>
      </w:r>
    </w:p>
  </w:footnote>
  <w:footnote w:type="continuationSeparator" w:id="0">
    <w:p w:rsidR="00232183" w:rsidRDefault="00232183" w:rsidP="0002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4"/>
    <w:rsid w:val="00021817"/>
    <w:rsid w:val="000610B7"/>
    <w:rsid w:val="00065C3E"/>
    <w:rsid w:val="00212722"/>
    <w:rsid w:val="00232183"/>
    <w:rsid w:val="002A386A"/>
    <w:rsid w:val="00351848"/>
    <w:rsid w:val="00376CC5"/>
    <w:rsid w:val="00403D36"/>
    <w:rsid w:val="00420C52"/>
    <w:rsid w:val="004B5691"/>
    <w:rsid w:val="004F019F"/>
    <w:rsid w:val="005A2D58"/>
    <w:rsid w:val="00640D18"/>
    <w:rsid w:val="006E6A50"/>
    <w:rsid w:val="00701AAC"/>
    <w:rsid w:val="00775F08"/>
    <w:rsid w:val="007F6BE8"/>
    <w:rsid w:val="00826140"/>
    <w:rsid w:val="00866076"/>
    <w:rsid w:val="00895ABC"/>
    <w:rsid w:val="009A3ED7"/>
    <w:rsid w:val="009A642C"/>
    <w:rsid w:val="009D00CE"/>
    <w:rsid w:val="00A27FD8"/>
    <w:rsid w:val="00A3309D"/>
    <w:rsid w:val="00A34FAC"/>
    <w:rsid w:val="00AE30C4"/>
    <w:rsid w:val="00AF7FF0"/>
    <w:rsid w:val="00BC7E20"/>
    <w:rsid w:val="00BD2463"/>
    <w:rsid w:val="00C11A9A"/>
    <w:rsid w:val="00C17E44"/>
    <w:rsid w:val="00CB3936"/>
    <w:rsid w:val="00CC4AA1"/>
    <w:rsid w:val="00CE7787"/>
    <w:rsid w:val="00D155B1"/>
    <w:rsid w:val="00D94675"/>
    <w:rsid w:val="00D94998"/>
    <w:rsid w:val="00DD5865"/>
    <w:rsid w:val="00EB6D85"/>
    <w:rsid w:val="00F5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u-publications@nihr.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hr.ac.uk/research/Pages/Research_Open_Access_Policy_Statement.aspx" TargetMode="External"/><Relationship Id="rId5" Type="http://schemas.openxmlformats.org/officeDocument/2006/relationships/webSettings" Target="webSettings.xml"/><Relationship Id="rId10" Type="http://schemas.openxmlformats.org/officeDocument/2006/relationships/hyperlink" Target="mailto:gideon.rubin@kcl.ac.uk" TargetMode="External"/><Relationship Id="rId4" Type="http://schemas.openxmlformats.org/officeDocument/2006/relationships/settings" Target="settings.xml"/><Relationship Id="rId9" Type="http://schemas.openxmlformats.org/officeDocument/2006/relationships/hyperlink" Target="mailto:Margaret.Mauchline@ph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James Rubin</cp:lastModifiedBy>
  <cp:revision>5</cp:revision>
  <dcterms:created xsi:type="dcterms:W3CDTF">2017-11-03T16:47:00Z</dcterms:created>
  <dcterms:modified xsi:type="dcterms:W3CDTF">2017-11-03T17:10:00Z</dcterms:modified>
</cp:coreProperties>
</file>