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857C" w14:textId="77777777" w:rsidR="00242192" w:rsidRDefault="00CF0439" w:rsidP="00242192">
      <w:pPr>
        <w:jc w:val="right"/>
      </w:pPr>
      <w:r>
        <w:rPr>
          <w:noProof/>
          <w:lang w:eastAsia="en-GB"/>
        </w:rPr>
        <mc:AlternateContent>
          <mc:Choice Requires="wps">
            <w:drawing>
              <wp:anchor distT="0" distB="0" distL="114300" distR="114300" simplePos="0" relativeHeight="251657216" behindDoc="0" locked="0" layoutInCell="1" allowOverlap="1" wp14:anchorId="4FAB18FD" wp14:editId="71EA8C02">
                <wp:simplePos x="0" y="0"/>
                <wp:positionH relativeFrom="column">
                  <wp:posOffset>-594360</wp:posOffset>
                </wp:positionH>
                <wp:positionV relativeFrom="paragraph">
                  <wp:posOffset>39370</wp:posOffset>
                </wp:positionV>
                <wp:extent cx="4286250" cy="604520"/>
                <wp:effectExtent l="5715" t="10795" r="13335"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604520"/>
                        </a:xfrm>
                        <a:prstGeom prst="rect">
                          <a:avLst/>
                        </a:prstGeom>
                        <a:solidFill>
                          <a:srgbClr val="FFFFFF"/>
                        </a:solidFill>
                        <a:ln w="9525">
                          <a:solidFill>
                            <a:srgbClr val="FFFFFF"/>
                          </a:solidFill>
                          <a:miter lim="800000"/>
                          <a:headEnd/>
                          <a:tailEnd/>
                        </a:ln>
                      </wps:spPr>
                      <wps:txbx>
                        <w:txbxContent>
                          <w:p w14:paraId="55D286E6"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088E070A" w14:textId="77777777" w:rsidR="00C216C6" w:rsidRDefault="00C216C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AB18FD" id="_x0000_t202" coordsize="21600,21600" o:spt="202" path="m,l,21600r21600,l21600,xe">
                <v:stroke joinstyle="miter"/>
                <v:path gradientshapeok="t" o:connecttype="rect"/>
              </v:shapetype>
              <v:shape id="Text Box 2" o:spid="_x0000_s1026" type="#_x0000_t202" style="position:absolute;left:0;text-align:left;margin-left:-46.8pt;margin-top:3.1pt;width:337.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" strokecolor="white">
                <v:textbox>
                  <w:txbxContent>
                    <w:p w14:paraId="55D286E6" w14:textId="77777777" w:rsidR="00C216C6" w:rsidRPr="00C216C6" w:rsidRDefault="00C216C6" w:rsidP="00C216C6">
                      <w:pPr>
                        <w:rPr>
                          <w:rFonts w:ascii="Calibri" w:hAnsi="Calibri"/>
                          <w:i/>
                          <w:sz w:val="28"/>
                          <w:szCs w:val="28"/>
                        </w:rPr>
                      </w:pPr>
                      <w:r w:rsidRPr="00C216C6">
                        <w:rPr>
                          <w:rFonts w:ascii="Calibri" w:hAnsi="Calibri"/>
                          <w:i/>
                          <w:sz w:val="28"/>
                          <w:szCs w:val="28"/>
                        </w:rPr>
                        <w:t>The NIHR Health Protection Research Unit in Emergency Preparedness and Response at King’s College London</w:t>
                      </w:r>
                    </w:p>
                    <w:p w14:paraId="088E070A" w14:textId="77777777" w:rsidR="00C216C6" w:rsidRDefault="00C216C6"/>
                  </w:txbxContent>
                </v:textbox>
              </v:shape>
            </w:pict>
          </mc:Fallback>
        </mc:AlternateContent>
      </w:r>
      <w:r>
        <w:rPr>
          <w:noProof/>
          <w:lang w:eastAsia="en-GB"/>
        </w:rPr>
        <w:drawing>
          <wp:inline distT="0" distB="0" distL="0" distR="0" wp14:anchorId="4E0A0A5C" wp14:editId="723C38F8">
            <wp:extent cx="1609725" cy="5581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725" cy="558165"/>
                    </a:xfrm>
                    <a:prstGeom prst="rect">
                      <a:avLst/>
                    </a:prstGeom>
                    <a:noFill/>
                  </pic:spPr>
                </pic:pic>
              </a:graphicData>
            </a:graphic>
          </wp:inline>
        </w:drawing>
      </w:r>
    </w:p>
    <w:p w14:paraId="262D9B79" w14:textId="77777777" w:rsidR="009024C7" w:rsidRPr="00AB22DD" w:rsidRDefault="009024C7" w:rsidP="002611C7">
      <w:pPr>
        <w:rPr>
          <w:rFonts w:ascii="Calibri" w:hAnsi="Calibri"/>
          <w:b/>
          <w:sz w:val="28"/>
          <w:szCs w:val="28"/>
        </w:rPr>
      </w:pPr>
    </w:p>
    <w:p w14:paraId="3EB237FD" w14:textId="77777777" w:rsidR="00736549" w:rsidRDefault="00736549" w:rsidP="002611C7">
      <w:pPr>
        <w:rPr>
          <w:rFonts w:ascii="Calibri" w:hAnsi="Calibri"/>
          <w:b/>
          <w:sz w:val="28"/>
          <w:szCs w:val="28"/>
        </w:rPr>
      </w:pPr>
    </w:p>
    <w:p w14:paraId="561AC63E" w14:textId="77777777" w:rsidR="00736549" w:rsidRDefault="00736549" w:rsidP="002611C7">
      <w:pPr>
        <w:rPr>
          <w:rFonts w:ascii="Calibri" w:hAnsi="Calibri"/>
          <w:b/>
          <w:sz w:val="28"/>
          <w:szCs w:val="28"/>
        </w:rPr>
      </w:pPr>
    </w:p>
    <w:p w14:paraId="5C34107D" w14:textId="77777777" w:rsidR="00736549" w:rsidRDefault="00605994" w:rsidP="00D008A9">
      <w:pPr>
        <w:jc w:val="center"/>
        <w:rPr>
          <w:rFonts w:ascii="Calibri" w:hAnsi="Calibri"/>
          <w:b/>
          <w:sz w:val="28"/>
          <w:szCs w:val="28"/>
        </w:rPr>
      </w:pPr>
      <w:r>
        <w:rPr>
          <w:rFonts w:ascii="Calibri" w:hAnsi="Calibri"/>
          <w:b/>
          <w:sz w:val="28"/>
          <w:szCs w:val="28"/>
        </w:rPr>
        <w:t>Theme 4</w:t>
      </w:r>
      <w:r w:rsidR="00731B32">
        <w:rPr>
          <w:rFonts w:ascii="Calibri" w:hAnsi="Calibri"/>
          <w:b/>
          <w:sz w:val="28"/>
          <w:szCs w:val="28"/>
        </w:rPr>
        <w:t xml:space="preserve"> Public and Patient Involvement </w:t>
      </w:r>
      <w:r w:rsidR="00D008A9">
        <w:rPr>
          <w:rFonts w:ascii="Calibri" w:hAnsi="Calibri"/>
          <w:b/>
          <w:sz w:val="28"/>
          <w:szCs w:val="28"/>
        </w:rPr>
        <w:t>Plan</w:t>
      </w:r>
    </w:p>
    <w:p w14:paraId="6BC849A0" w14:textId="77777777" w:rsidR="009046A3" w:rsidRDefault="009046A3" w:rsidP="00CF0439">
      <w:pPr>
        <w:rPr>
          <w:rFonts w:ascii="Calibri" w:hAnsi="Calibri"/>
          <w:sz w:val="22"/>
          <w:szCs w:val="22"/>
        </w:rPr>
      </w:pPr>
      <w:bookmarkStart w:id="0" w:name="_GoBack"/>
      <w:bookmarkEnd w:id="0"/>
    </w:p>
    <w:p w14:paraId="7DBD6A58" w14:textId="77777777" w:rsidR="009046A3" w:rsidRDefault="009046A3" w:rsidP="00CF0439">
      <w:pPr>
        <w:rPr>
          <w:rFonts w:ascii="Calibri" w:hAnsi="Calibri"/>
          <w:sz w:val="22"/>
          <w:szCs w:val="22"/>
        </w:rPr>
      </w:pPr>
    </w:p>
    <w:p w14:paraId="66A5AF79" w14:textId="77777777" w:rsidR="001A2F4A" w:rsidRDefault="00CF0439" w:rsidP="00CF0439">
      <w:pPr>
        <w:rPr>
          <w:rFonts w:ascii="Calibri" w:hAnsi="Calibri"/>
          <w:sz w:val="22"/>
          <w:szCs w:val="22"/>
        </w:rPr>
      </w:pPr>
      <w:r w:rsidRPr="00CF0439">
        <w:rPr>
          <w:rFonts w:ascii="Calibri" w:hAnsi="Calibri"/>
          <w:sz w:val="22"/>
          <w:szCs w:val="22"/>
        </w:rPr>
        <w:t>This document outlines the Public &amp; Patient In</w:t>
      </w:r>
      <w:r w:rsidR="00605994">
        <w:rPr>
          <w:rFonts w:ascii="Calibri" w:hAnsi="Calibri"/>
          <w:sz w:val="22"/>
          <w:szCs w:val="22"/>
        </w:rPr>
        <w:t>volvement (PPI) plan for Theme 4</w:t>
      </w:r>
      <w:r w:rsidRPr="00CF0439">
        <w:rPr>
          <w:rFonts w:ascii="Calibri" w:hAnsi="Calibri"/>
          <w:sz w:val="22"/>
          <w:szCs w:val="22"/>
        </w:rPr>
        <w:t xml:space="preserve">: Improving the </w:t>
      </w:r>
      <w:r w:rsidR="00605994">
        <w:rPr>
          <w:rFonts w:ascii="Calibri" w:hAnsi="Calibri"/>
          <w:sz w:val="22"/>
          <w:szCs w:val="22"/>
        </w:rPr>
        <w:t>evidence base for risk assessment and risk reduction. The</w:t>
      </w:r>
      <w:r w:rsidRPr="00CF0439">
        <w:rPr>
          <w:rFonts w:ascii="Calibri" w:hAnsi="Calibri"/>
          <w:sz w:val="22"/>
          <w:szCs w:val="22"/>
        </w:rPr>
        <w:t xml:space="preserve"> </w:t>
      </w:r>
      <w:r w:rsidR="00605994">
        <w:rPr>
          <w:rFonts w:ascii="Calibri" w:hAnsi="Calibri"/>
          <w:sz w:val="22"/>
          <w:szCs w:val="22"/>
        </w:rPr>
        <w:t xml:space="preserve">research in this </w:t>
      </w:r>
      <w:r w:rsidRPr="00CF0439">
        <w:rPr>
          <w:rFonts w:ascii="Calibri" w:hAnsi="Calibri"/>
          <w:sz w:val="22"/>
          <w:szCs w:val="22"/>
        </w:rPr>
        <w:t xml:space="preserve">theme focuses on </w:t>
      </w:r>
      <w:r w:rsidR="00605994">
        <w:rPr>
          <w:rFonts w:ascii="Calibri" w:hAnsi="Calibri"/>
          <w:sz w:val="22"/>
          <w:szCs w:val="22"/>
        </w:rPr>
        <w:t>developing</w:t>
      </w:r>
      <w:r w:rsidR="00816A82">
        <w:rPr>
          <w:rFonts w:ascii="Calibri" w:hAnsi="Calibri"/>
          <w:sz w:val="22"/>
          <w:szCs w:val="22"/>
        </w:rPr>
        <w:t xml:space="preserve"> better</w:t>
      </w:r>
      <w:r w:rsidR="00605994">
        <w:rPr>
          <w:rFonts w:ascii="Calibri" w:hAnsi="Calibri"/>
          <w:sz w:val="22"/>
          <w:szCs w:val="22"/>
        </w:rPr>
        <w:t xml:space="preserve"> understanding and tools to assist national to local level planning and </w:t>
      </w:r>
      <w:r w:rsidR="00AC5633">
        <w:rPr>
          <w:rFonts w:ascii="Calibri" w:hAnsi="Calibri"/>
          <w:sz w:val="22"/>
          <w:szCs w:val="22"/>
        </w:rPr>
        <w:t>response to</w:t>
      </w:r>
      <w:r w:rsidR="00E23E2C">
        <w:rPr>
          <w:rFonts w:ascii="Calibri" w:hAnsi="Calibri"/>
          <w:sz w:val="22"/>
          <w:szCs w:val="22"/>
        </w:rPr>
        <w:t xml:space="preserve"> </w:t>
      </w:r>
      <w:r w:rsidR="00AC5633">
        <w:rPr>
          <w:rFonts w:ascii="Calibri" w:hAnsi="Calibri"/>
          <w:sz w:val="22"/>
          <w:szCs w:val="22"/>
        </w:rPr>
        <w:t>direct the</w:t>
      </w:r>
      <w:r w:rsidR="00E23E2C">
        <w:rPr>
          <w:rFonts w:ascii="Calibri" w:hAnsi="Calibri"/>
          <w:sz w:val="22"/>
          <w:szCs w:val="22"/>
        </w:rPr>
        <w:t xml:space="preserve"> </w:t>
      </w:r>
      <w:r w:rsidR="00605994">
        <w:rPr>
          <w:rFonts w:ascii="Calibri" w:hAnsi="Calibri"/>
          <w:sz w:val="22"/>
          <w:szCs w:val="22"/>
        </w:rPr>
        <w:t xml:space="preserve">effective </w:t>
      </w:r>
      <w:r w:rsidR="00E23E2C">
        <w:rPr>
          <w:rFonts w:ascii="Calibri" w:hAnsi="Calibri"/>
          <w:sz w:val="22"/>
          <w:szCs w:val="22"/>
        </w:rPr>
        <w:t xml:space="preserve">implementation </w:t>
      </w:r>
      <w:r w:rsidR="00605994">
        <w:rPr>
          <w:rFonts w:ascii="Calibri" w:hAnsi="Calibri"/>
          <w:sz w:val="22"/>
          <w:szCs w:val="22"/>
        </w:rPr>
        <w:t>of public health measures</w:t>
      </w:r>
      <w:r w:rsidR="00E23E2C">
        <w:rPr>
          <w:rFonts w:ascii="Calibri" w:hAnsi="Calibri"/>
          <w:sz w:val="22"/>
          <w:szCs w:val="22"/>
        </w:rPr>
        <w:t xml:space="preserve"> (including the distribution of medicines, support and advice</w:t>
      </w:r>
      <w:r w:rsidR="00AC5633">
        <w:rPr>
          <w:rFonts w:ascii="Calibri" w:hAnsi="Calibri"/>
          <w:sz w:val="22"/>
          <w:szCs w:val="22"/>
        </w:rPr>
        <w:t>) following</w:t>
      </w:r>
      <w:r w:rsidR="00605994">
        <w:rPr>
          <w:rFonts w:ascii="Calibri" w:hAnsi="Calibri"/>
          <w:sz w:val="22"/>
          <w:szCs w:val="22"/>
        </w:rPr>
        <w:t xml:space="preserve"> deliberate (or accidental) </w:t>
      </w:r>
      <w:r w:rsidR="00644753">
        <w:rPr>
          <w:rFonts w:ascii="Calibri" w:hAnsi="Calibri"/>
          <w:sz w:val="22"/>
          <w:szCs w:val="22"/>
        </w:rPr>
        <w:t>releases into the atmosphere of</w:t>
      </w:r>
      <w:r w:rsidR="00605994">
        <w:rPr>
          <w:rFonts w:ascii="Calibri" w:hAnsi="Calibri"/>
          <w:sz w:val="22"/>
          <w:szCs w:val="22"/>
        </w:rPr>
        <w:t xml:space="preserve"> biological or chemical agents, </w:t>
      </w:r>
      <w:r w:rsidR="00AC5633">
        <w:rPr>
          <w:rFonts w:ascii="Calibri" w:hAnsi="Calibri"/>
          <w:sz w:val="22"/>
          <w:szCs w:val="22"/>
        </w:rPr>
        <w:t>and also</w:t>
      </w:r>
      <w:r w:rsidR="00644753">
        <w:rPr>
          <w:rFonts w:ascii="Calibri" w:hAnsi="Calibri"/>
          <w:sz w:val="22"/>
          <w:szCs w:val="22"/>
        </w:rPr>
        <w:t xml:space="preserve"> </w:t>
      </w:r>
      <w:r w:rsidR="00E23E2C">
        <w:rPr>
          <w:rFonts w:ascii="Calibri" w:hAnsi="Calibri"/>
          <w:sz w:val="22"/>
          <w:szCs w:val="22"/>
        </w:rPr>
        <w:t>following</w:t>
      </w:r>
      <w:r w:rsidR="00605994">
        <w:rPr>
          <w:rFonts w:ascii="Calibri" w:hAnsi="Calibri"/>
          <w:sz w:val="22"/>
          <w:szCs w:val="22"/>
        </w:rPr>
        <w:t xml:space="preserve"> other low probability but high impact incidents </w:t>
      </w:r>
      <w:r w:rsidR="00CD0733">
        <w:rPr>
          <w:rFonts w:ascii="Calibri" w:hAnsi="Calibri"/>
          <w:sz w:val="22"/>
          <w:szCs w:val="22"/>
        </w:rPr>
        <w:t>that are highly complex in nature</w:t>
      </w:r>
      <w:r w:rsidR="009046A3">
        <w:rPr>
          <w:rFonts w:ascii="Calibri" w:hAnsi="Calibri"/>
          <w:sz w:val="22"/>
          <w:szCs w:val="22"/>
        </w:rPr>
        <w:t xml:space="preserve">. </w:t>
      </w:r>
      <w:r w:rsidR="00E23E2C">
        <w:rPr>
          <w:rFonts w:ascii="Calibri" w:hAnsi="Calibri"/>
          <w:sz w:val="22"/>
          <w:szCs w:val="22"/>
        </w:rPr>
        <w:t>Current research strands include:</w:t>
      </w:r>
    </w:p>
    <w:p w14:paraId="7D499862" w14:textId="77777777" w:rsidR="001A2F4A" w:rsidRDefault="001A2F4A" w:rsidP="00CF0439">
      <w:pPr>
        <w:rPr>
          <w:rFonts w:ascii="Calibri" w:hAnsi="Calibri"/>
          <w:sz w:val="22"/>
          <w:szCs w:val="22"/>
        </w:rPr>
      </w:pPr>
    </w:p>
    <w:p w14:paraId="0B67E93B" w14:textId="77777777" w:rsidR="00E23E2C" w:rsidRDefault="00CC19B7" w:rsidP="00644753">
      <w:pPr>
        <w:pStyle w:val="ListParagraph"/>
        <w:numPr>
          <w:ilvl w:val="0"/>
          <w:numId w:val="38"/>
        </w:numPr>
        <w:rPr>
          <w:rFonts w:ascii="Calibri" w:hAnsi="Calibri"/>
          <w:sz w:val="22"/>
          <w:szCs w:val="22"/>
        </w:rPr>
      </w:pPr>
      <w:r>
        <w:rPr>
          <w:rFonts w:ascii="Calibri" w:hAnsi="Calibri"/>
          <w:sz w:val="22"/>
          <w:szCs w:val="22"/>
        </w:rPr>
        <w:t>D</w:t>
      </w:r>
      <w:r w:rsidR="00E23E2C">
        <w:rPr>
          <w:rFonts w:ascii="Calibri" w:hAnsi="Calibri"/>
          <w:sz w:val="22"/>
          <w:szCs w:val="22"/>
        </w:rPr>
        <w:t xml:space="preserve">eveloping </w:t>
      </w:r>
      <w:r w:rsidR="00E3249E">
        <w:rPr>
          <w:rFonts w:ascii="Calibri" w:hAnsi="Calibri"/>
          <w:sz w:val="22"/>
          <w:szCs w:val="22"/>
        </w:rPr>
        <w:t xml:space="preserve">complex </w:t>
      </w:r>
      <w:r w:rsidR="00E23E2C">
        <w:rPr>
          <w:rFonts w:ascii="Calibri" w:hAnsi="Calibri"/>
          <w:sz w:val="22"/>
          <w:szCs w:val="22"/>
        </w:rPr>
        <w:t>statistical tools to analyse individual patient level data concerning symptoms of illness</w:t>
      </w:r>
      <w:r w:rsidR="00071BA2">
        <w:rPr>
          <w:rFonts w:ascii="Calibri" w:hAnsi="Calibri"/>
          <w:sz w:val="22"/>
          <w:szCs w:val="22"/>
        </w:rPr>
        <w:t xml:space="preserve"> in the very earliest cases to report to healthcare</w:t>
      </w:r>
      <w:r w:rsidR="00E23E2C">
        <w:rPr>
          <w:rFonts w:ascii="Calibri" w:hAnsi="Calibri"/>
          <w:sz w:val="22"/>
          <w:szCs w:val="22"/>
        </w:rPr>
        <w:t>,</w:t>
      </w:r>
      <w:r w:rsidR="00071BA2">
        <w:rPr>
          <w:rFonts w:ascii="Calibri" w:hAnsi="Calibri"/>
          <w:sz w:val="22"/>
          <w:szCs w:val="22"/>
        </w:rPr>
        <w:t xml:space="preserve"> their</w:t>
      </w:r>
      <w:r w:rsidR="00E23E2C">
        <w:rPr>
          <w:rFonts w:ascii="Calibri" w:hAnsi="Calibri"/>
          <w:sz w:val="22"/>
          <w:szCs w:val="22"/>
        </w:rPr>
        <w:t xml:space="preserve"> time of onset of illness and</w:t>
      </w:r>
      <w:r w:rsidR="00071BA2">
        <w:rPr>
          <w:rFonts w:ascii="Calibri" w:hAnsi="Calibri"/>
          <w:sz w:val="22"/>
          <w:szCs w:val="22"/>
        </w:rPr>
        <w:t xml:space="preserve"> their</w:t>
      </w:r>
      <w:r w:rsidR="00E23E2C">
        <w:rPr>
          <w:rFonts w:ascii="Calibri" w:hAnsi="Calibri"/>
          <w:sz w:val="22"/>
          <w:szCs w:val="22"/>
        </w:rPr>
        <w:t xml:space="preserve"> </w:t>
      </w:r>
      <w:r w:rsidR="00071BA2">
        <w:rPr>
          <w:rFonts w:ascii="Calibri" w:hAnsi="Calibri"/>
          <w:sz w:val="22"/>
          <w:szCs w:val="22"/>
        </w:rPr>
        <w:t>travel</w:t>
      </w:r>
      <w:r w:rsidR="00E23E2C">
        <w:rPr>
          <w:rFonts w:ascii="Calibri" w:hAnsi="Calibri"/>
          <w:sz w:val="22"/>
          <w:szCs w:val="22"/>
        </w:rPr>
        <w:t xml:space="preserve"> h</w:t>
      </w:r>
      <w:r w:rsidR="00071BA2">
        <w:rPr>
          <w:rFonts w:ascii="Calibri" w:hAnsi="Calibri"/>
          <w:sz w:val="22"/>
          <w:szCs w:val="22"/>
        </w:rPr>
        <w:t>istories</w:t>
      </w:r>
      <w:r w:rsidR="00E23E2C">
        <w:rPr>
          <w:rFonts w:ascii="Calibri" w:hAnsi="Calibri"/>
          <w:sz w:val="22"/>
          <w:szCs w:val="22"/>
        </w:rPr>
        <w:t xml:space="preserve"> </w:t>
      </w:r>
      <w:r w:rsidR="00071BA2">
        <w:rPr>
          <w:rFonts w:ascii="Calibri" w:hAnsi="Calibri"/>
          <w:sz w:val="22"/>
          <w:szCs w:val="22"/>
        </w:rPr>
        <w:t>during</w:t>
      </w:r>
      <w:r w:rsidR="00E23E2C">
        <w:rPr>
          <w:rFonts w:ascii="Calibri" w:hAnsi="Calibri"/>
          <w:sz w:val="22"/>
          <w:szCs w:val="22"/>
        </w:rPr>
        <w:t xml:space="preserve"> the incubation period of the </w:t>
      </w:r>
      <w:r w:rsidR="00071BA2">
        <w:rPr>
          <w:rFonts w:ascii="Calibri" w:hAnsi="Calibri"/>
          <w:sz w:val="22"/>
          <w:szCs w:val="22"/>
        </w:rPr>
        <w:t>illness to infer the geographic region that might have been exposed to an airborne infectious agent. Such analysis would then aid the targeting of therapeutic public health interventions.</w:t>
      </w:r>
      <w:r w:rsidR="00E3249E">
        <w:rPr>
          <w:rFonts w:ascii="Calibri" w:hAnsi="Calibri"/>
          <w:sz w:val="22"/>
          <w:szCs w:val="22"/>
        </w:rPr>
        <w:t xml:space="preserve"> Identifying meaningful Public and Patient Involvement in this very specialist mathematical research has proved challenging</w:t>
      </w:r>
      <w:r w:rsidR="00071BA2">
        <w:rPr>
          <w:rFonts w:ascii="Calibri" w:hAnsi="Calibri"/>
          <w:sz w:val="22"/>
          <w:szCs w:val="22"/>
        </w:rPr>
        <w:t xml:space="preserve"> </w:t>
      </w:r>
      <w:r w:rsidR="00E3249E">
        <w:rPr>
          <w:rFonts w:ascii="Calibri" w:hAnsi="Calibri"/>
          <w:sz w:val="22"/>
          <w:szCs w:val="22"/>
        </w:rPr>
        <w:t>and so the researchers are now keen to understand from PPI representatives themselves how they consider meaningful PPI could be best undertaken in the future</w:t>
      </w:r>
      <w:r w:rsidR="00CE0C23">
        <w:rPr>
          <w:rFonts w:ascii="Calibri" w:hAnsi="Calibri"/>
          <w:sz w:val="22"/>
          <w:szCs w:val="22"/>
        </w:rPr>
        <w:t xml:space="preserve"> under these circumstances</w:t>
      </w:r>
      <w:r w:rsidR="00E3249E">
        <w:rPr>
          <w:rFonts w:ascii="Calibri" w:hAnsi="Calibri"/>
          <w:sz w:val="22"/>
          <w:szCs w:val="22"/>
        </w:rPr>
        <w:t xml:space="preserve">. </w:t>
      </w:r>
      <w:r w:rsidR="00CE0C23">
        <w:rPr>
          <w:rFonts w:ascii="Calibri" w:hAnsi="Calibri"/>
          <w:sz w:val="22"/>
          <w:szCs w:val="22"/>
        </w:rPr>
        <w:t>R</w:t>
      </w:r>
      <w:r w:rsidR="00071BA2">
        <w:rPr>
          <w:rFonts w:ascii="Calibri" w:hAnsi="Calibri"/>
          <w:sz w:val="22"/>
          <w:szCs w:val="22"/>
        </w:rPr>
        <w:t xml:space="preserve">esearch on the statistical </w:t>
      </w:r>
      <w:r w:rsidR="00772F18">
        <w:rPr>
          <w:rFonts w:ascii="Calibri" w:hAnsi="Calibri"/>
          <w:sz w:val="22"/>
          <w:szCs w:val="22"/>
        </w:rPr>
        <w:t>tools is</w:t>
      </w:r>
      <w:r w:rsidR="00071BA2">
        <w:rPr>
          <w:rFonts w:ascii="Calibri" w:hAnsi="Calibri"/>
          <w:sz w:val="22"/>
          <w:szCs w:val="22"/>
        </w:rPr>
        <w:t xml:space="preserve"> </w:t>
      </w:r>
      <w:r w:rsidR="00CE0C23">
        <w:rPr>
          <w:rFonts w:ascii="Calibri" w:hAnsi="Calibri"/>
          <w:sz w:val="22"/>
          <w:szCs w:val="22"/>
        </w:rPr>
        <w:t xml:space="preserve">also </w:t>
      </w:r>
      <w:r w:rsidR="00071BA2">
        <w:rPr>
          <w:rFonts w:ascii="Calibri" w:hAnsi="Calibri"/>
          <w:sz w:val="22"/>
          <w:szCs w:val="22"/>
        </w:rPr>
        <w:t xml:space="preserve">being extended to </w:t>
      </w:r>
      <w:r w:rsidR="00E3249E">
        <w:rPr>
          <w:rFonts w:ascii="Calibri" w:hAnsi="Calibri"/>
          <w:sz w:val="22"/>
          <w:szCs w:val="22"/>
        </w:rPr>
        <w:t xml:space="preserve">try to </w:t>
      </w:r>
      <w:r w:rsidR="00071BA2">
        <w:rPr>
          <w:rFonts w:ascii="Calibri" w:hAnsi="Calibri"/>
          <w:sz w:val="22"/>
          <w:szCs w:val="22"/>
        </w:rPr>
        <w:t xml:space="preserve">reduce </w:t>
      </w:r>
      <w:r w:rsidR="00772F18">
        <w:rPr>
          <w:rFonts w:ascii="Calibri" w:hAnsi="Calibri"/>
          <w:sz w:val="22"/>
          <w:szCs w:val="22"/>
        </w:rPr>
        <w:t xml:space="preserve">the </w:t>
      </w:r>
      <w:r w:rsidR="00071BA2">
        <w:rPr>
          <w:rFonts w:ascii="Calibri" w:hAnsi="Calibri"/>
          <w:sz w:val="22"/>
          <w:szCs w:val="22"/>
        </w:rPr>
        <w:t xml:space="preserve">uncertainty and improve </w:t>
      </w:r>
      <w:r w:rsidR="00772F18">
        <w:rPr>
          <w:rFonts w:ascii="Calibri" w:hAnsi="Calibri"/>
          <w:sz w:val="22"/>
          <w:szCs w:val="22"/>
        </w:rPr>
        <w:t xml:space="preserve">the </w:t>
      </w:r>
      <w:r w:rsidR="00071BA2">
        <w:rPr>
          <w:rFonts w:ascii="Calibri" w:hAnsi="Calibri"/>
          <w:sz w:val="22"/>
          <w:szCs w:val="22"/>
        </w:rPr>
        <w:t>accuracy</w:t>
      </w:r>
      <w:r w:rsidR="00772F18">
        <w:rPr>
          <w:rFonts w:ascii="Calibri" w:hAnsi="Calibri"/>
          <w:sz w:val="22"/>
          <w:szCs w:val="22"/>
        </w:rPr>
        <w:t xml:space="preserve"> of </w:t>
      </w:r>
      <w:r w:rsidR="00E3249E">
        <w:rPr>
          <w:rFonts w:ascii="Calibri" w:hAnsi="Calibri"/>
          <w:sz w:val="22"/>
          <w:szCs w:val="22"/>
        </w:rPr>
        <w:t>the analytical tools’</w:t>
      </w:r>
      <w:r w:rsidR="00772F18">
        <w:rPr>
          <w:rFonts w:ascii="Calibri" w:hAnsi="Calibri"/>
          <w:sz w:val="22"/>
          <w:szCs w:val="22"/>
        </w:rPr>
        <w:t xml:space="preserve"> results for targeting interventions. One way of achieving </w:t>
      </w:r>
      <w:r w:rsidR="007C3394">
        <w:rPr>
          <w:rFonts w:ascii="Calibri" w:hAnsi="Calibri"/>
          <w:sz w:val="22"/>
          <w:szCs w:val="22"/>
        </w:rPr>
        <w:t xml:space="preserve">this </w:t>
      </w:r>
      <w:r w:rsidR="00772F18">
        <w:rPr>
          <w:rFonts w:ascii="Calibri" w:hAnsi="Calibri"/>
          <w:sz w:val="22"/>
          <w:szCs w:val="22"/>
        </w:rPr>
        <w:t xml:space="preserve">might be to use potentially more precise location data for the early cases of illness, based on the past location data of </w:t>
      </w:r>
      <w:r w:rsidR="00644753">
        <w:rPr>
          <w:rFonts w:ascii="Calibri" w:hAnsi="Calibri"/>
          <w:sz w:val="22"/>
          <w:szCs w:val="22"/>
        </w:rPr>
        <w:t>the</w:t>
      </w:r>
      <w:r w:rsidR="00E3249E">
        <w:rPr>
          <w:rFonts w:ascii="Calibri" w:hAnsi="Calibri"/>
          <w:sz w:val="22"/>
          <w:szCs w:val="22"/>
        </w:rPr>
        <w:t>ir</w:t>
      </w:r>
      <w:r w:rsidR="00772F18">
        <w:rPr>
          <w:rFonts w:ascii="Calibri" w:hAnsi="Calibri"/>
          <w:sz w:val="22"/>
          <w:szCs w:val="22"/>
        </w:rPr>
        <w:t xml:space="preserve"> mobile phones.</w:t>
      </w:r>
      <w:r w:rsidR="00644753">
        <w:rPr>
          <w:rFonts w:ascii="Calibri" w:hAnsi="Calibri"/>
          <w:sz w:val="22"/>
          <w:szCs w:val="22"/>
        </w:rPr>
        <w:t xml:space="preserve"> This</w:t>
      </w:r>
      <w:r w:rsidR="00E3249E">
        <w:rPr>
          <w:rFonts w:ascii="Calibri" w:hAnsi="Calibri"/>
          <w:sz w:val="22"/>
          <w:szCs w:val="22"/>
        </w:rPr>
        <w:t xml:space="preserve"> research</w:t>
      </w:r>
      <w:r w:rsidR="00644753">
        <w:rPr>
          <w:rFonts w:ascii="Calibri" w:hAnsi="Calibri"/>
          <w:sz w:val="22"/>
          <w:szCs w:val="22"/>
        </w:rPr>
        <w:t xml:space="preserve"> is being undertaken collaboratively with the Emerging Threats T</w:t>
      </w:r>
      <w:r w:rsidR="00644753" w:rsidRPr="00644753">
        <w:rPr>
          <w:rFonts w:ascii="Calibri" w:hAnsi="Calibri"/>
          <w:sz w:val="22"/>
          <w:szCs w:val="22"/>
        </w:rPr>
        <w:t xml:space="preserve">heme </w:t>
      </w:r>
      <w:r w:rsidR="00644753">
        <w:rPr>
          <w:rFonts w:ascii="Calibri" w:hAnsi="Calibri"/>
          <w:sz w:val="22"/>
          <w:szCs w:val="22"/>
        </w:rPr>
        <w:t xml:space="preserve">of the NIHR Health Protection Research Unit in Modelling Methodology led by Imperial College London in partnership with PHE. </w:t>
      </w:r>
      <w:r w:rsidR="00CE0C23">
        <w:rPr>
          <w:rFonts w:ascii="Calibri" w:hAnsi="Calibri"/>
          <w:sz w:val="22"/>
          <w:szCs w:val="22"/>
        </w:rPr>
        <w:t>There are potential important hurdles for research and applications aiming at utilising personal mobile phone data with regard to</w:t>
      </w:r>
      <w:r w:rsidR="007C3394">
        <w:rPr>
          <w:rFonts w:ascii="Calibri" w:hAnsi="Calibri"/>
          <w:sz w:val="22"/>
          <w:szCs w:val="22"/>
        </w:rPr>
        <w:t>:</w:t>
      </w:r>
      <w:r w:rsidR="00CE0C23">
        <w:rPr>
          <w:rFonts w:ascii="Calibri" w:hAnsi="Calibri"/>
          <w:sz w:val="22"/>
          <w:szCs w:val="22"/>
        </w:rPr>
        <w:t xml:space="preserve"> </w:t>
      </w:r>
      <w:r w:rsidR="00414FD0">
        <w:rPr>
          <w:rFonts w:ascii="Calibri" w:hAnsi="Calibri"/>
          <w:sz w:val="22"/>
          <w:szCs w:val="22"/>
        </w:rPr>
        <w:t>Personal Identifiable Information (</w:t>
      </w:r>
      <w:r w:rsidR="00CE0C23">
        <w:rPr>
          <w:rFonts w:ascii="Calibri" w:hAnsi="Calibri"/>
          <w:sz w:val="22"/>
          <w:szCs w:val="22"/>
        </w:rPr>
        <w:t>PII</w:t>
      </w:r>
      <w:r w:rsidR="00414FD0">
        <w:rPr>
          <w:rFonts w:ascii="Calibri" w:hAnsi="Calibri"/>
          <w:sz w:val="22"/>
          <w:szCs w:val="22"/>
        </w:rPr>
        <w:t>)</w:t>
      </w:r>
      <w:r w:rsidR="00CE0C23">
        <w:rPr>
          <w:rFonts w:ascii="Calibri" w:hAnsi="Calibri"/>
          <w:sz w:val="22"/>
          <w:szCs w:val="22"/>
        </w:rPr>
        <w:t xml:space="preserve">, data protection, ethics, commercial interests, etc. Public and Patient involvement will be explored as a means of facilitating the research  </w:t>
      </w:r>
      <w:r w:rsidR="0047327B">
        <w:rPr>
          <w:rFonts w:ascii="Calibri" w:hAnsi="Calibri"/>
          <w:sz w:val="22"/>
          <w:szCs w:val="22"/>
        </w:rPr>
        <w:t>to more widely consider the</w:t>
      </w:r>
      <w:r w:rsidR="00CE0C23">
        <w:rPr>
          <w:rFonts w:ascii="Calibri" w:hAnsi="Calibri"/>
          <w:sz w:val="22"/>
          <w:szCs w:val="22"/>
        </w:rPr>
        <w:t xml:space="preserve">  possible tension</w:t>
      </w:r>
      <w:r w:rsidR="0047327B">
        <w:rPr>
          <w:rFonts w:ascii="Calibri" w:hAnsi="Calibri"/>
          <w:sz w:val="22"/>
          <w:szCs w:val="22"/>
        </w:rPr>
        <w:t>s</w:t>
      </w:r>
      <w:r w:rsidR="00CE0C23">
        <w:rPr>
          <w:rFonts w:ascii="Calibri" w:hAnsi="Calibri"/>
          <w:sz w:val="22"/>
          <w:szCs w:val="22"/>
        </w:rPr>
        <w:t xml:space="preserve"> between serving their health needs, the public good</w:t>
      </w:r>
      <w:r w:rsidR="0047327B">
        <w:rPr>
          <w:rFonts w:ascii="Calibri" w:hAnsi="Calibri"/>
          <w:sz w:val="22"/>
          <w:szCs w:val="22"/>
        </w:rPr>
        <w:t xml:space="preserve"> more generally</w:t>
      </w:r>
      <w:r>
        <w:rPr>
          <w:rFonts w:ascii="Calibri" w:hAnsi="Calibri"/>
          <w:sz w:val="22"/>
          <w:szCs w:val="22"/>
        </w:rPr>
        <w:t xml:space="preserve"> and identifying  the cause or the </w:t>
      </w:r>
      <w:r w:rsidR="00CE0C23">
        <w:rPr>
          <w:rFonts w:ascii="Calibri" w:hAnsi="Calibri"/>
          <w:sz w:val="22"/>
          <w:szCs w:val="22"/>
        </w:rPr>
        <w:t>individuals responsible for the release</w:t>
      </w:r>
      <w:r w:rsidR="0047327B">
        <w:rPr>
          <w:rFonts w:ascii="Calibri" w:hAnsi="Calibri"/>
          <w:sz w:val="22"/>
          <w:szCs w:val="22"/>
        </w:rPr>
        <w:t xml:space="preserve"> versus the general population’s</w:t>
      </w:r>
      <w:r w:rsidR="00CE0C23">
        <w:rPr>
          <w:rFonts w:ascii="Calibri" w:hAnsi="Calibri"/>
          <w:sz w:val="22"/>
          <w:szCs w:val="22"/>
        </w:rPr>
        <w:t xml:space="preserve"> concerns regarding privacy and personal data protection.</w:t>
      </w:r>
    </w:p>
    <w:p w14:paraId="2C6B3934" w14:textId="77777777" w:rsidR="001A2F4A" w:rsidRPr="001A2F4A" w:rsidRDefault="001A2F4A" w:rsidP="001A2F4A">
      <w:pPr>
        <w:pStyle w:val="ListParagraph"/>
        <w:rPr>
          <w:rFonts w:ascii="Calibri" w:hAnsi="Calibri"/>
          <w:sz w:val="22"/>
          <w:szCs w:val="22"/>
        </w:rPr>
      </w:pPr>
    </w:p>
    <w:p w14:paraId="287E3F48" w14:textId="77777777" w:rsidR="00CF0439" w:rsidRPr="00CC19B7" w:rsidRDefault="00000826" w:rsidP="00CF0439">
      <w:pPr>
        <w:pStyle w:val="ListParagraph"/>
        <w:numPr>
          <w:ilvl w:val="0"/>
          <w:numId w:val="38"/>
        </w:numPr>
        <w:rPr>
          <w:rFonts w:ascii="Calibri" w:hAnsi="Calibri"/>
          <w:sz w:val="22"/>
          <w:szCs w:val="22"/>
        </w:rPr>
      </w:pPr>
      <w:r w:rsidRPr="00000826">
        <w:rPr>
          <w:rFonts w:ascii="Calibri" w:hAnsi="Calibri"/>
          <w:sz w:val="22"/>
          <w:szCs w:val="22"/>
        </w:rPr>
        <w:t xml:space="preserve">The second strand considers complexity in emergency response, including patients with </w:t>
      </w:r>
      <w:r>
        <w:rPr>
          <w:rFonts w:ascii="Calibri" w:hAnsi="Calibri"/>
          <w:sz w:val="22"/>
          <w:szCs w:val="22"/>
        </w:rPr>
        <w:t>complex backgrounds in order to</w:t>
      </w:r>
      <w:r w:rsidRPr="00000826">
        <w:rPr>
          <w:rFonts w:ascii="Calibri" w:hAnsi="Calibri"/>
          <w:sz w:val="22"/>
          <w:szCs w:val="22"/>
        </w:rPr>
        <w:t xml:space="preserve"> </w:t>
      </w:r>
      <w:r>
        <w:rPr>
          <w:rFonts w:ascii="Calibri" w:hAnsi="Calibri"/>
          <w:sz w:val="22"/>
          <w:szCs w:val="22"/>
        </w:rPr>
        <w:t>seek</w:t>
      </w:r>
      <w:r w:rsidRPr="00000826">
        <w:rPr>
          <w:rFonts w:ascii="Calibri" w:hAnsi="Calibri"/>
          <w:sz w:val="22"/>
          <w:szCs w:val="22"/>
        </w:rPr>
        <w:t xml:space="preserve"> to reduce the impact of complex national/international emergencies on public health.  How to focus the research and decide on priority topics was challenging</w:t>
      </w:r>
      <w:r>
        <w:rPr>
          <w:rFonts w:ascii="Calibri" w:hAnsi="Calibri"/>
          <w:sz w:val="22"/>
          <w:szCs w:val="22"/>
        </w:rPr>
        <w:t xml:space="preserve"> at the beginning</w:t>
      </w:r>
      <w:r w:rsidRPr="00000826">
        <w:rPr>
          <w:rFonts w:ascii="Calibri" w:hAnsi="Calibri"/>
          <w:sz w:val="22"/>
          <w:szCs w:val="22"/>
        </w:rPr>
        <w:t xml:space="preserve">, given the nature of complex events.  </w:t>
      </w:r>
      <w:r>
        <w:rPr>
          <w:rFonts w:ascii="Calibri" w:hAnsi="Calibri"/>
          <w:sz w:val="22"/>
          <w:szCs w:val="22"/>
        </w:rPr>
        <w:t xml:space="preserve">Combining </w:t>
      </w:r>
      <w:r w:rsidRPr="00000826">
        <w:rPr>
          <w:rFonts w:ascii="Calibri" w:hAnsi="Calibri"/>
          <w:sz w:val="22"/>
          <w:szCs w:val="22"/>
        </w:rPr>
        <w:t xml:space="preserve">a type of structured brain-storming, the researchers identified the ongoing UK, European and international migration crisis as both complex and worthy of deeper research.  To focus </w:t>
      </w:r>
      <w:r w:rsidR="0078558F">
        <w:rPr>
          <w:rFonts w:ascii="Calibri" w:hAnsi="Calibri"/>
          <w:sz w:val="22"/>
          <w:szCs w:val="22"/>
        </w:rPr>
        <w:t xml:space="preserve">and edify </w:t>
      </w:r>
      <w:r w:rsidRPr="00000826">
        <w:rPr>
          <w:rFonts w:ascii="Calibri" w:hAnsi="Calibri"/>
          <w:sz w:val="22"/>
          <w:szCs w:val="22"/>
        </w:rPr>
        <w:t>the research</w:t>
      </w:r>
      <w:r w:rsidR="0078558F">
        <w:rPr>
          <w:rFonts w:ascii="Calibri" w:hAnsi="Calibri"/>
          <w:sz w:val="22"/>
          <w:szCs w:val="22"/>
        </w:rPr>
        <w:t xml:space="preserve"> process</w:t>
      </w:r>
      <w:r w:rsidRPr="00000826">
        <w:rPr>
          <w:rFonts w:ascii="Calibri" w:hAnsi="Calibri"/>
          <w:sz w:val="22"/>
          <w:szCs w:val="22"/>
        </w:rPr>
        <w:t xml:space="preserve">, </w:t>
      </w:r>
      <w:r w:rsidR="0078558F">
        <w:rPr>
          <w:rFonts w:ascii="Calibri" w:hAnsi="Calibri"/>
          <w:sz w:val="22"/>
          <w:szCs w:val="22"/>
        </w:rPr>
        <w:t xml:space="preserve">it was felt that involving PPI </w:t>
      </w:r>
      <w:r w:rsidRPr="00000826">
        <w:rPr>
          <w:rFonts w:ascii="Calibri" w:hAnsi="Calibri"/>
          <w:sz w:val="22"/>
          <w:szCs w:val="22"/>
        </w:rPr>
        <w:t xml:space="preserve">representatives </w:t>
      </w:r>
      <w:r w:rsidR="0078558F">
        <w:rPr>
          <w:rFonts w:ascii="Calibri" w:hAnsi="Calibri"/>
          <w:sz w:val="22"/>
          <w:szCs w:val="22"/>
        </w:rPr>
        <w:t>from a forced migrant community background would be invaluable</w:t>
      </w:r>
      <w:r w:rsidRPr="00000826">
        <w:rPr>
          <w:rFonts w:ascii="Calibri" w:hAnsi="Calibri"/>
          <w:sz w:val="22"/>
          <w:szCs w:val="22"/>
        </w:rPr>
        <w:t xml:space="preserve">.  </w:t>
      </w:r>
      <w:r>
        <w:rPr>
          <w:rFonts w:ascii="Calibri" w:hAnsi="Calibri"/>
          <w:sz w:val="22"/>
          <w:szCs w:val="22"/>
        </w:rPr>
        <w:t xml:space="preserve">It was intended that they would attend regular project meetings to </w:t>
      </w:r>
      <w:r>
        <w:rPr>
          <w:rFonts w:ascii="Calibri" w:hAnsi="Calibri"/>
          <w:sz w:val="22"/>
          <w:szCs w:val="22"/>
        </w:rPr>
        <w:lastRenderedPageBreak/>
        <w:t xml:space="preserve">insightfully </w:t>
      </w:r>
      <w:r w:rsidR="0078558F">
        <w:rPr>
          <w:rFonts w:ascii="Calibri" w:hAnsi="Calibri"/>
          <w:sz w:val="22"/>
          <w:szCs w:val="22"/>
        </w:rPr>
        <w:t>advise on</w:t>
      </w:r>
      <w:r>
        <w:rPr>
          <w:rFonts w:ascii="Calibri" w:hAnsi="Calibri"/>
          <w:sz w:val="22"/>
          <w:szCs w:val="22"/>
        </w:rPr>
        <w:t>,</w:t>
      </w:r>
      <w:r w:rsidR="0078558F">
        <w:rPr>
          <w:rFonts w:ascii="Calibri" w:hAnsi="Calibri"/>
          <w:sz w:val="22"/>
          <w:szCs w:val="22"/>
        </w:rPr>
        <w:t xml:space="preserve"> help co-develop, and directly contribute to, the undertaking and dissemination </w:t>
      </w:r>
      <w:r w:rsidRPr="00000826">
        <w:rPr>
          <w:rFonts w:ascii="Calibri" w:hAnsi="Calibri"/>
          <w:sz w:val="22"/>
          <w:szCs w:val="22"/>
        </w:rPr>
        <w:t xml:space="preserve">of </w:t>
      </w:r>
      <w:r w:rsidR="0078558F">
        <w:rPr>
          <w:rFonts w:ascii="Calibri" w:hAnsi="Calibri"/>
          <w:sz w:val="22"/>
          <w:szCs w:val="22"/>
        </w:rPr>
        <w:t>the</w:t>
      </w:r>
      <w:r w:rsidRPr="00000826">
        <w:rPr>
          <w:rFonts w:ascii="Calibri" w:hAnsi="Calibri"/>
          <w:sz w:val="22"/>
          <w:szCs w:val="22"/>
        </w:rPr>
        <w:t xml:space="preserve"> research</w:t>
      </w:r>
      <w:r w:rsidR="008A2605">
        <w:rPr>
          <w:rFonts w:ascii="Calibri" w:hAnsi="Calibri"/>
          <w:sz w:val="22"/>
          <w:szCs w:val="22"/>
        </w:rPr>
        <w:t xml:space="preserve"> and then hopefully have a longer term and direct involvement in its completion</w:t>
      </w:r>
      <w:r w:rsidRPr="00000826">
        <w:rPr>
          <w:rFonts w:ascii="Calibri" w:hAnsi="Calibri"/>
          <w:sz w:val="22"/>
          <w:szCs w:val="22"/>
        </w:rPr>
        <w:t xml:space="preserve">.  </w:t>
      </w:r>
    </w:p>
    <w:p w14:paraId="0E4E7A43" w14:textId="77777777" w:rsidR="00805345" w:rsidRDefault="00805345" w:rsidP="00CF0439">
      <w:pPr>
        <w:rPr>
          <w:rFonts w:ascii="Calibri" w:hAnsi="Calibri"/>
          <w:sz w:val="22"/>
          <w:szCs w:val="22"/>
        </w:rPr>
      </w:pPr>
    </w:p>
    <w:p w14:paraId="73B50C4B" w14:textId="77777777" w:rsidR="00CF0439" w:rsidRPr="00CF0439" w:rsidRDefault="001A2F4A" w:rsidP="00CF0439">
      <w:pPr>
        <w:rPr>
          <w:rFonts w:ascii="Calibri" w:hAnsi="Calibri"/>
          <w:sz w:val="22"/>
          <w:szCs w:val="22"/>
        </w:rPr>
      </w:pPr>
      <w:r>
        <w:rPr>
          <w:rFonts w:ascii="Calibri" w:hAnsi="Calibri"/>
          <w:sz w:val="22"/>
          <w:szCs w:val="22"/>
        </w:rPr>
        <w:t>We will review this plan regularly, as new projects start and based on feedback from the HPRU central management, our researchers and the members of the public who take part in the activities.</w:t>
      </w:r>
    </w:p>
    <w:p w14:paraId="03A57CAE" w14:textId="77777777" w:rsidR="00CF0439" w:rsidRDefault="00CF0439" w:rsidP="00CF0439">
      <w:pPr>
        <w:rPr>
          <w:rFonts w:ascii="Calibri" w:hAnsi="Calibri"/>
          <w:sz w:val="22"/>
          <w:szCs w:val="22"/>
        </w:rPr>
      </w:pPr>
    </w:p>
    <w:p w14:paraId="7EACD42F" w14:textId="77777777" w:rsidR="00CF0439" w:rsidRDefault="00CF0439" w:rsidP="00CF0439">
      <w:pPr>
        <w:rPr>
          <w:rFonts w:ascii="Calibri" w:hAnsi="Calibri"/>
          <w:sz w:val="22"/>
          <w:szCs w:val="22"/>
        </w:rPr>
      </w:pPr>
      <w:r w:rsidRPr="00CF0439">
        <w:rPr>
          <w:rFonts w:ascii="Calibri" w:hAnsi="Calibri"/>
          <w:sz w:val="22"/>
          <w:szCs w:val="22"/>
        </w:rPr>
        <w:t>In line with EPR HPRU PPI policy, this plan only focuses on activities where the public are actively involved in our research projects and does not include public engagement or research dissemination activities.</w:t>
      </w:r>
    </w:p>
    <w:p w14:paraId="4754F906" w14:textId="77777777" w:rsidR="00731B32" w:rsidRDefault="00731B32" w:rsidP="002611C7">
      <w:pPr>
        <w:rPr>
          <w:rFonts w:ascii="Calibri" w:hAnsi="Calibri"/>
          <w:sz w:val="22"/>
          <w:szCs w:val="22"/>
        </w:rPr>
      </w:pPr>
    </w:p>
    <w:p w14:paraId="21E22F07" w14:textId="77777777" w:rsidR="00731B32" w:rsidRDefault="00632BCE" w:rsidP="002611C7">
      <w:pPr>
        <w:rPr>
          <w:rFonts w:ascii="Calibri" w:hAnsi="Calibri"/>
          <w:sz w:val="22"/>
          <w:szCs w:val="22"/>
        </w:rPr>
      </w:pPr>
      <w:r>
        <w:rPr>
          <w:rFonts w:ascii="Calibri" w:hAnsi="Calibri"/>
          <w:sz w:val="22"/>
          <w:szCs w:val="22"/>
        </w:rPr>
        <w:t>The activities</w:t>
      </w:r>
      <w:r w:rsidR="001C7D3B">
        <w:rPr>
          <w:rFonts w:ascii="Calibri" w:hAnsi="Calibri"/>
          <w:sz w:val="22"/>
          <w:szCs w:val="22"/>
        </w:rPr>
        <w:t xml:space="preserve"> currently planned </w:t>
      </w:r>
      <w:r>
        <w:rPr>
          <w:rFonts w:ascii="Calibri" w:hAnsi="Calibri"/>
          <w:sz w:val="22"/>
          <w:szCs w:val="22"/>
        </w:rPr>
        <w:t xml:space="preserve">in order to pursue this are outlined </w:t>
      </w:r>
      <w:r w:rsidR="00D52F31">
        <w:rPr>
          <w:rFonts w:ascii="Calibri" w:hAnsi="Calibri"/>
          <w:sz w:val="22"/>
          <w:szCs w:val="22"/>
        </w:rPr>
        <w:t>in the table below:</w:t>
      </w:r>
    </w:p>
    <w:p w14:paraId="7D32DCD5" w14:textId="77777777" w:rsidR="00CF0439" w:rsidRDefault="00CF0439" w:rsidP="002611C7">
      <w:pPr>
        <w:rPr>
          <w:rFonts w:ascii="Calibri" w:hAnsi="Calibri"/>
          <w:sz w:val="22"/>
          <w:szCs w:val="22"/>
        </w:rPr>
      </w:pPr>
    </w:p>
    <w:p w14:paraId="234EC78C" w14:textId="77777777" w:rsidR="00731B32" w:rsidRDefault="00731B32" w:rsidP="002611C7">
      <w:pPr>
        <w:rPr>
          <w:rFonts w:ascii="Calibri" w:hAnsi="Calibri"/>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
        <w:gridCol w:w="2381"/>
        <w:gridCol w:w="29"/>
        <w:gridCol w:w="1247"/>
        <w:gridCol w:w="29"/>
        <w:gridCol w:w="6095"/>
        <w:gridCol w:w="3119"/>
      </w:tblGrid>
      <w:tr w:rsidR="002A7E9C" w:rsidRPr="00AA607E" w14:paraId="4F2B8764" w14:textId="77777777" w:rsidTr="00004670">
        <w:tc>
          <w:tcPr>
            <w:tcW w:w="1668" w:type="dxa"/>
            <w:shd w:val="clear" w:color="auto" w:fill="auto"/>
          </w:tcPr>
          <w:p w14:paraId="204A1C8E" w14:textId="77777777" w:rsidR="002A7E9C" w:rsidRPr="00AA607E" w:rsidRDefault="002A7E9C" w:rsidP="002611C7">
            <w:pPr>
              <w:rPr>
                <w:rFonts w:ascii="Calibri" w:hAnsi="Calibri"/>
                <w:b/>
                <w:sz w:val="22"/>
                <w:szCs w:val="22"/>
              </w:rPr>
            </w:pPr>
            <w:r>
              <w:rPr>
                <w:rFonts w:ascii="Calibri" w:hAnsi="Calibri"/>
                <w:b/>
                <w:sz w:val="22"/>
                <w:szCs w:val="22"/>
              </w:rPr>
              <w:t>PPI activity</w:t>
            </w:r>
          </w:p>
        </w:tc>
        <w:tc>
          <w:tcPr>
            <w:tcW w:w="2409" w:type="dxa"/>
            <w:gridSpan w:val="2"/>
            <w:shd w:val="clear" w:color="auto" w:fill="auto"/>
          </w:tcPr>
          <w:p w14:paraId="56362D21" w14:textId="77777777" w:rsidR="002A7E9C" w:rsidRPr="00AA607E" w:rsidRDefault="002A7E9C" w:rsidP="002611C7">
            <w:pPr>
              <w:rPr>
                <w:rFonts w:ascii="Calibri" w:hAnsi="Calibri"/>
                <w:b/>
                <w:sz w:val="22"/>
                <w:szCs w:val="22"/>
              </w:rPr>
            </w:pPr>
            <w:r>
              <w:rPr>
                <w:rFonts w:ascii="Calibri" w:hAnsi="Calibri"/>
                <w:b/>
                <w:sz w:val="22"/>
                <w:szCs w:val="22"/>
              </w:rPr>
              <w:t>Aim</w:t>
            </w:r>
          </w:p>
        </w:tc>
        <w:tc>
          <w:tcPr>
            <w:tcW w:w="1276" w:type="dxa"/>
            <w:gridSpan w:val="2"/>
            <w:shd w:val="clear" w:color="auto" w:fill="auto"/>
          </w:tcPr>
          <w:p w14:paraId="776E3802" w14:textId="77777777" w:rsidR="002A7E9C" w:rsidRPr="00AA607E" w:rsidRDefault="002A7E9C" w:rsidP="002611C7">
            <w:pPr>
              <w:rPr>
                <w:rFonts w:ascii="Calibri" w:hAnsi="Calibri"/>
                <w:b/>
                <w:sz w:val="22"/>
                <w:szCs w:val="22"/>
              </w:rPr>
            </w:pPr>
            <w:r>
              <w:rPr>
                <w:rFonts w:ascii="Calibri" w:hAnsi="Calibri"/>
                <w:b/>
                <w:sz w:val="22"/>
                <w:szCs w:val="22"/>
              </w:rPr>
              <w:t>Schedule</w:t>
            </w:r>
          </w:p>
        </w:tc>
        <w:tc>
          <w:tcPr>
            <w:tcW w:w="6124" w:type="dxa"/>
            <w:gridSpan w:val="2"/>
            <w:shd w:val="clear" w:color="auto" w:fill="auto"/>
          </w:tcPr>
          <w:p w14:paraId="5A678994" w14:textId="77777777" w:rsidR="002A7E9C" w:rsidRPr="00AA607E" w:rsidRDefault="002A7E9C" w:rsidP="00731B32">
            <w:pPr>
              <w:rPr>
                <w:rFonts w:ascii="Calibri" w:hAnsi="Calibri"/>
                <w:b/>
                <w:sz w:val="22"/>
                <w:szCs w:val="22"/>
              </w:rPr>
            </w:pPr>
            <w:r>
              <w:rPr>
                <w:rFonts w:ascii="Calibri" w:hAnsi="Calibri"/>
                <w:b/>
                <w:sz w:val="22"/>
                <w:szCs w:val="22"/>
              </w:rPr>
              <w:t>Indicators of success</w:t>
            </w:r>
            <w:r w:rsidRPr="00AA607E">
              <w:rPr>
                <w:rFonts w:ascii="Calibri" w:hAnsi="Calibri"/>
                <w:b/>
                <w:sz w:val="22"/>
                <w:szCs w:val="22"/>
              </w:rPr>
              <w:t xml:space="preserve"> </w:t>
            </w:r>
          </w:p>
        </w:tc>
        <w:tc>
          <w:tcPr>
            <w:tcW w:w="3119" w:type="dxa"/>
          </w:tcPr>
          <w:p w14:paraId="5115DF7C" w14:textId="77777777" w:rsidR="002A7E9C" w:rsidRDefault="002A7E9C" w:rsidP="00731B32">
            <w:pPr>
              <w:rPr>
                <w:rFonts w:ascii="Calibri" w:hAnsi="Calibri"/>
                <w:b/>
                <w:sz w:val="22"/>
                <w:szCs w:val="22"/>
              </w:rPr>
            </w:pPr>
            <w:r>
              <w:rPr>
                <w:rFonts w:ascii="Calibri" w:hAnsi="Calibri"/>
                <w:b/>
                <w:sz w:val="22"/>
                <w:szCs w:val="22"/>
              </w:rPr>
              <w:t>Completion</w:t>
            </w:r>
            <w:r w:rsidR="00B64029">
              <w:rPr>
                <w:rFonts w:ascii="Calibri" w:hAnsi="Calibri"/>
                <w:b/>
                <w:sz w:val="22"/>
                <w:szCs w:val="22"/>
              </w:rPr>
              <w:t xml:space="preserve"> / Outcome</w:t>
            </w:r>
          </w:p>
        </w:tc>
      </w:tr>
      <w:tr w:rsidR="008A2605" w:rsidRPr="00AA607E" w14:paraId="1A5345BA" w14:textId="77777777" w:rsidTr="00004670">
        <w:tc>
          <w:tcPr>
            <w:tcW w:w="14596" w:type="dxa"/>
            <w:gridSpan w:val="8"/>
            <w:shd w:val="clear" w:color="auto" w:fill="auto"/>
          </w:tcPr>
          <w:p w14:paraId="53F5DE05" w14:textId="77777777" w:rsidR="008A2605" w:rsidRDefault="008A2605" w:rsidP="002A7E9C">
            <w:pPr>
              <w:pStyle w:val="ListParagraph"/>
              <w:ind w:left="88"/>
              <w:rPr>
                <w:rFonts w:ascii="Calibri" w:hAnsi="Calibri"/>
                <w:sz w:val="22"/>
                <w:szCs w:val="22"/>
              </w:rPr>
            </w:pPr>
            <w:r>
              <w:rPr>
                <w:rFonts w:ascii="Calibri" w:hAnsi="Calibri"/>
                <w:sz w:val="22"/>
                <w:szCs w:val="22"/>
              </w:rPr>
              <w:t>STRAND 1</w:t>
            </w:r>
          </w:p>
        </w:tc>
      </w:tr>
      <w:tr w:rsidR="002A7E9C" w:rsidRPr="00AA607E" w14:paraId="3153DC37" w14:textId="77777777" w:rsidTr="00004670">
        <w:tc>
          <w:tcPr>
            <w:tcW w:w="1668" w:type="dxa"/>
            <w:shd w:val="clear" w:color="auto" w:fill="auto"/>
          </w:tcPr>
          <w:p w14:paraId="07A6B73B" w14:textId="77777777" w:rsidR="002A7E9C" w:rsidRPr="00AA607E" w:rsidRDefault="00DA3825" w:rsidP="00381E0C">
            <w:pPr>
              <w:rPr>
                <w:rFonts w:ascii="Calibri" w:hAnsi="Calibri"/>
                <w:sz w:val="22"/>
                <w:szCs w:val="22"/>
              </w:rPr>
            </w:pPr>
            <w:r>
              <w:rPr>
                <w:rFonts w:ascii="Calibri" w:hAnsi="Calibri"/>
                <w:sz w:val="22"/>
                <w:szCs w:val="22"/>
              </w:rPr>
              <w:t>Engage with Modelling Methodology HPRU cross</w:t>
            </w:r>
            <w:r w:rsidR="00381E0C">
              <w:rPr>
                <w:rFonts w:ascii="Calibri" w:hAnsi="Calibri"/>
                <w:sz w:val="22"/>
                <w:szCs w:val="22"/>
              </w:rPr>
              <w:t>-</w:t>
            </w:r>
            <w:r>
              <w:rPr>
                <w:rFonts w:ascii="Calibri" w:hAnsi="Calibri"/>
                <w:sz w:val="22"/>
                <w:szCs w:val="22"/>
              </w:rPr>
              <w:t xml:space="preserve"> theme panel</w:t>
            </w:r>
            <w:r w:rsidR="00381E0C">
              <w:rPr>
                <w:rFonts w:ascii="Calibri" w:hAnsi="Calibri"/>
                <w:sz w:val="22"/>
                <w:szCs w:val="22"/>
              </w:rPr>
              <w:t xml:space="preserve"> as </w:t>
            </w:r>
            <w:r w:rsidR="00381E0C" w:rsidRPr="00381E0C">
              <w:rPr>
                <w:rFonts w:ascii="Calibri" w:hAnsi="Calibri"/>
                <w:sz w:val="22"/>
                <w:szCs w:val="22"/>
              </w:rPr>
              <w:t xml:space="preserve">an early “pilot” </w:t>
            </w:r>
            <w:r w:rsidR="00381E0C">
              <w:rPr>
                <w:rFonts w:ascii="Calibri" w:hAnsi="Calibri"/>
                <w:sz w:val="22"/>
                <w:szCs w:val="22"/>
              </w:rPr>
              <w:t xml:space="preserve">on how to best to </w:t>
            </w:r>
            <w:r w:rsidR="00381E0C" w:rsidRPr="00381E0C">
              <w:rPr>
                <w:rFonts w:ascii="Calibri" w:hAnsi="Calibri"/>
                <w:sz w:val="22"/>
                <w:szCs w:val="22"/>
              </w:rPr>
              <w:t>undertake</w:t>
            </w:r>
            <w:r w:rsidR="00381E0C">
              <w:rPr>
                <w:rFonts w:ascii="Calibri" w:hAnsi="Calibri"/>
                <w:sz w:val="22"/>
                <w:szCs w:val="22"/>
              </w:rPr>
              <w:t xml:space="preserve"> PPI on </w:t>
            </w:r>
            <w:r w:rsidR="00CC19B7">
              <w:rPr>
                <w:rFonts w:ascii="Calibri" w:hAnsi="Calibri"/>
                <w:sz w:val="22"/>
                <w:szCs w:val="22"/>
              </w:rPr>
              <w:t>“</w:t>
            </w:r>
            <w:r w:rsidR="00381E0C">
              <w:rPr>
                <w:rFonts w:ascii="Calibri" w:hAnsi="Calibri"/>
                <w:sz w:val="22"/>
                <w:szCs w:val="22"/>
              </w:rPr>
              <w:t xml:space="preserve">use </w:t>
            </w:r>
            <w:r w:rsidR="00CC19B7">
              <w:rPr>
                <w:rFonts w:ascii="Calibri" w:hAnsi="Calibri"/>
                <w:sz w:val="22"/>
                <w:szCs w:val="22"/>
              </w:rPr>
              <w:t>-</w:t>
            </w:r>
            <w:r w:rsidR="00381E0C">
              <w:rPr>
                <w:rFonts w:ascii="Calibri" w:hAnsi="Calibri"/>
                <w:sz w:val="22"/>
                <w:szCs w:val="22"/>
              </w:rPr>
              <w:t>cases</w:t>
            </w:r>
            <w:r w:rsidR="00CC19B7">
              <w:rPr>
                <w:rFonts w:ascii="Calibri" w:hAnsi="Calibri"/>
                <w:sz w:val="22"/>
                <w:szCs w:val="22"/>
              </w:rPr>
              <w:t>”</w:t>
            </w:r>
            <w:r w:rsidR="00381E0C">
              <w:rPr>
                <w:rFonts w:ascii="Calibri" w:hAnsi="Calibri"/>
                <w:sz w:val="22"/>
                <w:szCs w:val="22"/>
              </w:rPr>
              <w:t xml:space="preserve"> involving </w:t>
            </w:r>
            <w:r w:rsidR="00381E0C" w:rsidRPr="00381E0C">
              <w:rPr>
                <w:rFonts w:ascii="Calibri" w:hAnsi="Calibri"/>
                <w:sz w:val="22"/>
                <w:szCs w:val="22"/>
              </w:rPr>
              <w:t xml:space="preserve">mobile phone data </w:t>
            </w:r>
            <w:r w:rsidR="00381E0C">
              <w:rPr>
                <w:rFonts w:ascii="Calibri" w:hAnsi="Calibri"/>
                <w:sz w:val="22"/>
                <w:szCs w:val="22"/>
              </w:rPr>
              <w:t>for research and health protection purposes.</w:t>
            </w:r>
          </w:p>
        </w:tc>
        <w:tc>
          <w:tcPr>
            <w:tcW w:w="2409" w:type="dxa"/>
            <w:gridSpan w:val="2"/>
            <w:shd w:val="clear" w:color="auto" w:fill="auto"/>
          </w:tcPr>
          <w:p w14:paraId="21D010ED" w14:textId="77777777" w:rsidR="002A7E9C" w:rsidRDefault="00381E0C" w:rsidP="00381E0C">
            <w:pPr>
              <w:pStyle w:val="ListParagraph"/>
              <w:numPr>
                <w:ilvl w:val="0"/>
                <w:numId w:val="39"/>
              </w:numPr>
              <w:ind w:left="255" w:hanging="255"/>
              <w:rPr>
                <w:rFonts w:ascii="Calibri" w:hAnsi="Calibri"/>
                <w:sz w:val="22"/>
                <w:szCs w:val="22"/>
              </w:rPr>
            </w:pPr>
            <w:r>
              <w:rPr>
                <w:rFonts w:ascii="Calibri" w:hAnsi="Calibri"/>
                <w:sz w:val="22"/>
                <w:szCs w:val="22"/>
              </w:rPr>
              <w:t>Identify opportunities for PPI in future research on mobile phone data.</w:t>
            </w:r>
          </w:p>
          <w:p w14:paraId="46261A4E" w14:textId="77777777" w:rsidR="00381E0C" w:rsidRPr="0021730D" w:rsidRDefault="00414FD0" w:rsidP="00414FD0">
            <w:pPr>
              <w:pStyle w:val="ListParagraph"/>
              <w:numPr>
                <w:ilvl w:val="0"/>
                <w:numId w:val="39"/>
              </w:numPr>
              <w:ind w:left="255" w:hanging="255"/>
              <w:rPr>
                <w:rFonts w:ascii="Calibri" w:hAnsi="Calibri"/>
                <w:sz w:val="22"/>
                <w:szCs w:val="22"/>
              </w:rPr>
            </w:pPr>
            <w:r>
              <w:rPr>
                <w:rFonts w:ascii="Calibri" w:hAnsi="Calibri"/>
                <w:sz w:val="22"/>
                <w:szCs w:val="22"/>
              </w:rPr>
              <w:t>Inform the d</w:t>
            </w:r>
            <w:r w:rsidR="00381E0C">
              <w:rPr>
                <w:rFonts w:ascii="Calibri" w:hAnsi="Calibri"/>
                <w:sz w:val="22"/>
                <w:szCs w:val="22"/>
              </w:rPr>
              <w:t>evelop</w:t>
            </w:r>
            <w:r>
              <w:rPr>
                <w:rFonts w:ascii="Calibri" w:hAnsi="Calibri"/>
                <w:sz w:val="22"/>
                <w:szCs w:val="22"/>
              </w:rPr>
              <w:t>ment of</w:t>
            </w:r>
            <w:r w:rsidR="00381E0C">
              <w:rPr>
                <w:rFonts w:ascii="Calibri" w:hAnsi="Calibri"/>
                <w:sz w:val="22"/>
                <w:szCs w:val="22"/>
              </w:rPr>
              <w:t xml:space="preserve"> a research questionnaire on mobile phone data usage for the public</w:t>
            </w:r>
          </w:p>
        </w:tc>
        <w:tc>
          <w:tcPr>
            <w:tcW w:w="1276" w:type="dxa"/>
            <w:gridSpan w:val="2"/>
            <w:shd w:val="clear" w:color="auto" w:fill="auto"/>
          </w:tcPr>
          <w:p w14:paraId="3ECC03BE" w14:textId="77777777" w:rsidR="002A7E9C" w:rsidRPr="00AA607E" w:rsidRDefault="00381E0C" w:rsidP="00FD15B3">
            <w:pPr>
              <w:rPr>
                <w:rFonts w:ascii="Calibri" w:hAnsi="Calibri"/>
                <w:sz w:val="22"/>
                <w:szCs w:val="22"/>
              </w:rPr>
            </w:pPr>
            <w:r>
              <w:rPr>
                <w:rFonts w:ascii="Calibri" w:hAnsi="Calibri"/>
                <w:sz w:val="22"/>
                <w:szCs w:val="22"/>
              </w:rPr>
              <w:t>26</w:t>
            </w:r>
            <w:r w:rsidRPr="00CC19B7">
              <w:rPr>
                <w:rFonts w:ascii="Calibri" w:hAnsi="Calibri"/>
                <w:sz w:val="22"/>
                <w:szCs w:val="22"/>
                <w:vertAlign w:val="superscript"/>
              </w:rPr>
              <w:t>th</w:t>
            </w:r>
            <w:r>
              <w:rPr>
                <w:rFonts w:ascii="Calibri" w:hAnsi="Calibri"/>
                <w:sz w:val="22"/>
                <w:szCs w:val="22"/>
              </w:rPr>
              <w:t xml:space="preserve"> Oct 2017</w:t>
            </w:r>
          </w:p>
        </w:tc>
        <w:tc>
          <w:tcPr>
            <w:tcW w:w="6124" w:type="dxa"/>
            <w:gridSpan w:val="2"/>
            <w:shd w:val="clear" w:color="auto" w:fill="auto"/>
          </w:tcPr>
          <w:p w14:paraId="33B86EF5" w14:textId="77777777" w:rsidR="002A7E9C" w:rsidRPr="00D008A9" w:rsidRDefault="002A7E9C" w:rsidP="008B6139">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Public feedback indicates that (1) </w:t>
            </w:r>
            <w:r>
              <w:rPr>
                <w:rFonts w:ascii="Calibri" w:hAnsi="Calibri"/>
                <w:sz w:val="22"/>
                <w:szCs w:val="22"/>
              </w:rPr>
              <w:t xml:space="preserve">aims overall were clearly explained and they </w:t>
            </w:r>
            <w:r w:rsidRPr="00D008A9">
              <w:rPr>
                <w:rFonts w:ascii="Calibri" w:hAnsi="Calibri"/>
                <w:sz w:val="22"/>
                <w:szCs w:val="22"/>
              </w:rPr>
              <w:t>were given sufficient opportunity to express their views, (</w:t>
            </w:r>
            <w:r>
              <w:rPr>
                <w:rFonts w:ascii="Calibri" w:hAnsi="Calibri"/>
                <w:sz w:val="22"/>
                <w:szCs w:val="22"/>
              </w:rPr>
              <w:t>2</w:t>
            </w:r>
            <w:r w:rsidRPr="00D008A9">
              <w:rPr>
                <w:rFonts w:ascii="Calibri" w:hAnsi="Calibri"/>
                <w:sz w:val="22"/>
                <w:szCs w:val="22"/>
              </w:rPr>
              <w:t>) they found the involvement interesting, and (</w:t>
            </w:r>
            <w:r>
              <w:rPr>
                <w:rFonts w:ascii="Calibri" w:hAnsi="Calibri"/>
                <w:sz w:val="22"/>
                <w:szCs w:val="22"/>
              </w:rPr>
              <w:t>3</w:t>
            </w:r>
            <w:r w:rsidRPr="00D008A9">
              <w:rPr>
                <w:rFonts w:ascii="Calibri" w:hAnsi="Calibri"/>
                <w:sz w:val="22"/>
                <w:szCs w:val="22"/>
              </w:rPr>
              <w:t>) they would be willing to be involved in future research activities</w:t>
            </w:r>
          </w:p>
          <w:p w14:paraId="45858C2A" w14:textId="77777777" w:rsidR="002A7E9C" w:rsidRDefault="002A7E9C" w:rsidP="008B6139">
            <w:pPr>
              <w:pStyle w:val="ListParagraph"/>
              <w:ind w:left="215"/>
              <w:rPr>
                <w:rFonts w:ascii="Calibri" w:hAnsi="Calibri"/>
                <w:sz w:val="22"/>
                <w:szCs w:val="22"/>
              </w:rPr>
            </w:pPr>
          </w:p>
          <w:p w14:paraId="2F5EF4F6" w14:textId="77777777" w:rsidR="002A7E9C" w:rsidRPr="00AA607E" w:rsidRDefault="002A7E9C" w:rsidP="002C5BBE">
            <w:pPr>
              <w:pStyle w:val="ListParagraph"/>
              <w:numPr>
                <w:ilvl w:val="0"/>
                <w:numId w:val="34"/>
              </w:numPr>
              <w:ind w:left="215" w:hanging="215"/>
              <w:rPr>
                <w:rFonts w:ascii="Calibri" w:hAnsi="Calibri"/>
                <w:sz w:val="22"/>
                <w:szCs w:val="22"/>
              </w:rPr>
            </w:pPr>
            <w:r w:rsidRPr="00D008A9">
              <w:rPr>
                <w:rFonts w:ascii="Calibri" w:hAnsi="Calibri"/>
                <w:sz w:val="22"/>
                <w:szCs w:val="22"/>
              </w:rPr>
              <w:t xml:space="preserve">Researcher feedback indicates that </w:t>
            </w:r>
            <w:r>
              <w:rPr>
                <w:rFonts w:ascii="Calibri" w:hAnsi="Calibri"/>
                <w:sz w:val="22"/>
                <w:szCs w:val="22"/>
              </w:rPr>
              <w:t xml:space="preserve">this workshop </w:t>
            </w:r>
            <w:r w:rsidRPr="00D008A9">
              <w:rPr>
                <w:rFonts w:ascii="Calibri" w:hAnsi="Calibri"/>
                <w:sz w:val="22"/>
                <w:szCs w:val="22"/>
              </w:rPr>
              <w:t>supported or changed research plans</w:t>
            </w:r>
            <w:r>
              <w:rPr>
                <w:rFonts w:ascii="Calibri" w:hAnsi="Calibri"/>
                <w:sz w:val="22"/>
                <w:szCs w:val="22"/>
              </w:rPr>
              <w:t xml:space="preserve"> and the shaping of the types of work and outputs that might be relevant for different audiences/purposes</w:t>
            </w:r>
          </w:p>
        </w:tc>
        <w:tc>
          <w:tcPr>
            <w:tcW w:w="3119" w:type="dxa"/>
          </w:tcPr>
          <w:p w14:paraId="68E842B4" w14:textId="77777777" w:rsidR="002A7E9C" w:rsidRPr="00D008A9" w:rsidRDefault="002A7E9C" w:rsidP="002A7E9C">
            <w:pPr>
              <w:pStyle w:val="ListParagraph"/>
              <w:ind w:left="88"/>
              <w:rPr>
                <w:rFonts w:ascii="Calibri" w:hAnsi="Calibri"/>
                <w:sz w:val="22"/>
                <w:szCs w:val="22"/>
              </w:rPr>
            </w:pPr>
            <w:r>
              <w:rPr>
                <w:rFonts w:ascii="Calibri" w:hAnsi="Calibri"/>
                <w:sz w:val="22"/>
                <w:szCs w:val="22"/>
              </w:rPr>
              <w:t>Future activity</w:t>
            </w:r>
          </w:p>
        </w:tc>
      </w:tr>
      <w:tr w:rsidR="008A2605" w:rsidRPr="00AA607E" w14:paraId="5C2CF954" w14:textId="77777777" w:rsidTr="00004670">
        <w:tc>
          <w:tcPr>
            <w:tcW w:w="14596" w:type="dxa"/>
            <w:gridSpan w:val="8"/>
            <w:shd w:val="clear" w:color="auto" w:fill="auto"/>
          </w:tcPr>
          <w:p w14:paraId="7934083D" w14:textId="77777777" w:rsidR="008A2605" w:rsidRDefault="008A2605" w:rsidP="00006897">
            <w:pPr>
              <w:ind w:left="88"/>
              <w:rPr>
                <w:rFonts w:ascii="Calibri" w:hAnsi="Calibri"/>
                <w:sz w:val="22"/>
                <w:szCs w:val="22"/>
              </w:rPr>
            </w:pPr>
            <w:r>
              <w:rPr>
                <w:rFonts w:ascii="Calibri" w:hAnsi="Calibri"/>
                <w:sz w:val="22"/>
                <w:szCs w:val="22"/>
              </w:rPr>
              <w:t>STRAND 2</w:t>
            </w:r>
          </w:p>
        </w:tc>
      </w:tr>
      <w:tr w:rsidR="00B9362F" w:rsidRPr="00FF1E0C" w14:paraId="78656900" w14:textId="77777777" w:rsidTr="00004670">
        <w:tc>
          <w:tcPr>
            <w:tcW w:w="1696" w:type="dxa"/>
            <w:gridSpan w:val="2"/>
            <w:shd w:val="clear" w:color="auto" w:fill="auto"/>
          </w:tcPr>
          <w:p w14:paraId="4465FE61" w14:textId="77777777" w:rsidR="00B9362F" w:rsidRPr="00FF1E0C" w:rsidRDefault="00B9362F" w:rsidP="00355A1E">
            <w:pPr>
              <w:rPr>
                <w:rFonts w:asciiTheme="minorHAnsi" w:hAnsiTheme="minorHAnsi"/>
                <w:sz w:val="22"/>
                <w:szCs w:val="22"/>
              </w:rPr>
            </w:pPr>
            <w:r w:rsidRPr="00FF1E0C">
              <w:rPr>
                <w:rFonts w:asciiTheme="minorHAnsi" w:hAnsiTheme="minorHAnsi"/>
                <w:sz w:val="22"/>
                <w:szCs w:val="22"/>
              </w:rPr>
              <w:t>Engagement/</w:t>
            </w:r>
            <w:r w:rsidR="00CC19B7">
              <w:rPr>
                <w:rFonts w:asciiTheme="minorHAnsi" w:hAnsiTheme="minorHAnsi"/>
                <w:sz w:val="22"/>
                <w:szCs w:val="22"/>
              </w:rPr>
              <w:t xml:space="preserve"> </w:t>
            </w:r>
            <w:r w:rsidRPr="00FF1E0C">
              <w:rPr>
                <w:rFonts w:asciiTheme="minorHAnsi" w:hAnsiTheme="minorHAnsi"/>
                <w:sz w:val="22"/>
                <w:szCs w:val="22"/>
              </w:rPr>
              <w:t xml:space="preserve">Attendance of 1 or 2 members of the public at </w:t>
            </w:r>
            <w:r w:rsidRPr="00FF1E0C">
              <w:rPr>
                <w:rFonts w:asciiTheme="minorHAnsi" w:hAnsiTheme="minorHAnsi"/>
                <w:sz w:val="22"/>
                <w:szCs w:val="22"/>
              </w:rPr>
              <w:lastRenderedPageBreak/>
              <w:t>regular Theme meetings</w:t>
            </w:r>
          </w:p>
        </w:tc>
        <w:tc>
          <w:tcPr>
            <w:tcW w:w="2410" w:type="dxa"/>
            <w:gridSpan w:val="2"/>
            <w:shd w:val="clear" w:color="auto" w:fill="auto"/>
          </w:tcPr>
          <w:p w14:paraId="17DCBA8A" w14:textId="77777777" w:rsidR="00B9362F" w:rsidRPr="00FF1E0C" w:rsidRDefault="00B9362F" w:rsidP="00355A1E">
            <w:pPr>
              <w:rPr>
                <w:rFonts w:asciiTheme="minorHAnsi" w:hAnsiTheme="minorHAnsi"/>
                <w:sz w:val="22"/>
                <w:szCs w:val="22"/>
              </w:rPr>
            </w:pPr>
            <w:r w:rsidRPr="00FF1E0C">
              <w:rPr>
                <w:rFonts w:asciiTheme="minorHAnsi" w:hAnsiTheme="minorHAnsi"/>
                <w:sz w:val="22"/>
                <w:szCs w:val="22"/>
              </w:rPr>
              <w:lastRenderedPageBreak/>
              <w:t xml:space="preserve">To generate suggestions on the thematic areas to be covered, and methodologies that </w:t>
            </w:r>
            <w:r w:rsidRPr="00FF1E0C">
              <w:rPr>
                <w:rFonts w:asciiTheme="minorHAnsi" w:hAnsiTheme="minorHAnsi"/>
                <w:sz w:val="22"/>
                <w:szCs w:val="22"/>
              </w:rPr>
              <w:lastRenderedPageBreak/>
              <w:t xml:space="preserve">might be used by the research on complex emergencies. </w:t>
            </w:r>
          </w:p>
        </w:tc>
        <w:tc>
          <w:tcPr>
            <w:tcW w:w="1276" w:type="dxa"/>
            <w:gridSpan w:val="2"/>
            <w:shd w:val="clear" w:color="auto" w:fill="auto"/>
          </w:tcPr>
          <w:p w14:paraId="09ECF7CF" w14:textId="77777777" w:rsidR="00B9362F" w:rsidRPr="00FF1E0C" w:rsidRDefault="00DA3825" w:rsidP="00DA3825">
            <w:pPr>
              <w:rPr>
                <w:rFonts w:asciiTheme="minorHAnsi" w:hAnsiTheme="minorHAnsi"/>
                <w:sz w:val="22"/>
                <w:szCs w:val="22"/>
              </w:rPr>
            </w:pPr>
            <w:r>
              <w:rPr>
                <w:rFonts w:asciiTheme="minorHAnsi" w:hAnsiTheme="minorHAnsi"/>
                <w:sz w:val="22"/>
                <w:szCs w:val="22"/>
              </w:rPr>
              <w:lastRenderedPageBreak/>
              <w:t xml:space="preserve">From </w:t>
            </w:r>
            <w:r w:rsidRPr="00FF1E0C">
              <w:rPr>
                <w:rFonts w:asciiTheme="minorHAnsi" w:hAnsiTheme="minorHAnsi"/>
                <w:sz w:val="22"/>
                <w:szCs w:val="22"/>
              </w:rPr>
              <w:t>March 2016</w:t>
            </w:r>
            <w:r>
              <w:rPr>
                <w:rFonts w:asciiTheme="minorHAnsi" w:hAnsiTheme="minorHAnsi"/>
                <w:sz w:val="22"/>
                <w:szCs w:val="22"/>
              </w:rPr>
              <w:t xml:space="preserve"> </w:t>
            </w:r>
            <w:r w:rsidR="00B9362F">
              <w:rPr>
                <w:rFonts w:asciiTheme="minorHAnsi" w:hAnsiTheme="minorHAnsi"/>
                <w:sz w:val="22"/>
                <w:szCs w:val="22"/>
              </w:rPr>
              <w:t xml:space="preserve">PPI partners </w:t>
            </w:r>
            <w:r w:rsidR="00B9362F">
              <w:rPr>
                <w:rFonts w:asciiTheme="minorHAnsi" w:hAnsiTheme="minorHAnsi"/>
                <w:sz w:val="22"/>
                <w:szCs w:val="22"/>
              </w:rPr>
              <w:lastRenderedPageBreak/>
              <w:t>contribute to regular project meetings</w:t>
            </w:r>
            <w:r w:rsidR="00B9362F" w:rsidRPr="00FF1E0C">
              <w:rPr>
                <w:rFonts w:asciiTheme="minorHAnsi" w:hAnsiTheme="minorHAnsi"/>
                <w:sz w:val="22"/>
                <w:szCs w:val="22"/>
              </w:rPr>
              <w:t xml:space="preserve"> </w:t>
            </w:r>
          </w:p>
        </w:tc>
        <w:tc>
          <w:tcPr>
            <w:tcW w:w="6095" w:type="dxa"/>
            <w:shd w:val="clear" w:color="auto" w:fill="auto"/>
          </w:tcPr>
          <w:p w14:paraId="62EB721A" w14:textId="77777777" w:rsidR="00B9362F" w:rsidRPr="00FF1E0C" w:rsidRDefault="00B9362F" w:rsidP="00B9362F">
            <w:pPr>
              <w:pStyle w:val="ListParagraph"/>
              <w:numPr>
                <w:ilvl w:val="0"/>
                <w:numId w:val="34"/>
              </w:numPr>
              <w:ind w:left="215" w:hanging="215"/>
              <w:rPr>
                <w:rFonts w:asciiTheme="minorHAnsi" w:hAnsiTheme="minorHAnsi"/>
                <w:sz w:val="22"/>
                <w:szCs w:val="22"/>
              </w:rPr>
            </w:pPr>
            <w:r w:rsidRPr="00FF1E0C">
              <w:rPr>
                <w:rFonts w:asciiTheme="minorHAnsi" w:hAnsiTheme="minorHAnsi"/>
                <w:sz w:val="22"/>
                <w:szCs w:val="22"/>
              </w:rPr>
              <w:lastRenderedPageBreak/>
              <w:t xml:space="preserve">Public feedback indicates that (1) aims overall were clearly explained and they were given sufficient opportunity to express their views, (2) they found the involvement </w:t>
            </w:r>
            <w:r w:rsidRPr="00FF1E0C">
              <w:rPr>
                <w:rFonts w:asciiTheme="minorHAnsi" w:hAnsiTheme="minorHAnsi"/>
                <w:sz w:val="22"/>
                <w:szCs w:val="22"/>
              </w:rPr>
              <w:lastRenderedPageBreak/>
              <w:t>interesting, and (3) they would be willing to be involved in future research activities</w:t>
            </w:r>
          </w:p>
        </w:tc>
        <w:tc>
          <w:tcPr>
            <w:tcW w:w="3119" w:type="dxa"/>
          </w:tcPr>
          <w:p w14:paraId="7D85283B" w14:textId="77777777" w:rsidR="00B9362F" w:rsidRPr="00FF1E0C" w:rsidRDefault="00DA3825" w:rsidP="00355A1E">
            <w:pPr>
              <w:ind w:left="88"/>
              <w:rPr>
                <w:rFonts w:asciiTheme="minorHAnsi" w:hAnsiTheme="minorHAnsi"/>
                <w:sz w:val="22"/>
                <w:szCs w:val="22"/>
              </w:rPr>
            </w:pPr>
            <w:r>
              <w:rPr>
                <w:rFonts w:asciiTheme="minorHAnsi" w:hAnsiTheme="minorHAnsi"/>
                <w:sz w:val="22"/>
                <w:szCs w:val="22"/>
              </w:rPr>
              <w:lastRenderedPageBreak/>
              <w:t>Completed. T</w:t>
            </w:r>
            <w:r w:rsidRPr="00DA3825">
              <w:rPr>
                <w:rFonts w:asciiTheme="minorHAnsi" w:hAnsiTheme="minorHAnsi"/>
                <w:sz w:val="22"/>
                <w:szCs w:val="22"/>
              </w:rPr>
              <w:t xml:space="preserve">wo representatives of forced migrant communities were invited to join the project team </w:t>
            </w:r>
            <w:r w:rsidRPr="00DA3825">
              <w:rPr>
                <w:rFonts w:asciiTheme="minorHAnsi" w:hAnsiTheme="minorHAnsi"/>
                <w:sz w:val="22"/>
                <w:szCs w:val="22"/>
              </w:rPr>
              <w:lastRenderedPageBreak/>
              <w:t>as patient and public (PPI) representatives.  They attended regular project meetings, insightfully contributed to and advised on practical aspects of potential research areas.  The representatives identified cultural obstacles and community needs and helped choose the final research study design, which was to interview forced migrants about their strategies to build emotional resilience and prevent mental illness.</w:t>
            </w:r>
          </w:p>
        </w:tc>
      </w:tr>
      <w:tr w:rsidR="00B9362F" w14:paraId="20F77B30" w14:textId="77777777" w:rsidTr="00004670">
        <w:tc>
          <w:tcPr>
            <w:tcW w:w="1696" w:type="dxa"/>
            <w:gridSpan w:val="2"/>
            <w:shd w:val="clear" w:color="auto" w:fill="auto"/>
          </w:tcPr>
          <w:p w14:paraId="657A11B8" w14:textId="77777777" w:rsidR="00B9362F" w:rsidRDefault="00B9362F" w:rsidP="00355A1E">
            <w:pPr>
              <w:rPr>
                <w:rFonts w:ascii="Calibri" w:hAnsi="Calibri"/>
                <w:sz w:val="22"/>
                <w:szCs w:val="22"/>
              </w:rPr>
            </w:pPr>
            <w:r>
              <w:rPr>
                <w:rFonts w:ascii="Calibri" w:hAnsi="Calibri"/>
                <w:sz w:val="22"/>
                <w:szCs w:val="22"/>
              </w:rPr>
              <w:lastRenderedPageBreak/>
              <w:t>Role play as practice interviewees, part of research delivery (subsequent to previous PPI in 2016-2017 related to Identifying and prioritising)</w:t>
            </w:r>
          </w:p>
        </w:tc>
        <w:tc>
          <w:tcPr>
            <w:tcW w:w="2410" w:type="dxa"/>
            <w:gridSpan w:val="2"/>
            <w:shd w:val="clear" w:color="auto" w:fill="auto"/>
          </w:tcPr>
          <w:p w14:paraId="1706AF44" w14:textId="77777777" w:rsidR="00B9362F" w:rsidRPr="008223CE" w:rsidRDefault="00B9362F" w:rsidP="00355A1E">
            <w:pPr>
              <w:rPr>
                <w:rFonts w:ascii="Calibri" w:hAnsi="Calibri"/>
                <w:sz w:val="22"/>
                <w:szCs w:val="22"/>
              </w:rPr>
            </w:pPr>
            <w:r>
              <w:rPr>
                <w:rFonts w:ascii="Calibri" w:hAnsi="Calibri"/>
                <w:sz w:val="22"/>
                <w:szCs w:val="22"/>
              </w:rPr>
              <w:t>To prepare interviewer for original study interviewing refugees about resilience (to practice methods &amp; techniques with example interviewees)</w:t>
            </w:r>
          </w:p>
        </w:tc>
        <w:tc>
          <w:tcPr>
            <w:tcW w:w="1276" w:type="dxa"/>
            <w:gridSpan w:val="2"/>
            <w:shd w:val="clear" w:color="auto" w:fill="auto"/>
          </w:tcPr>
          <w:p w14:paraId="767E7AFF" w14:textId="77777777" w:rsidR="00B9362F" w:rsidRDefault="00B9362F" w:rsidP="00355A1E">
            <w:pPr>
              <w:rPr>
                <w:rFonts w:ascii="Calibri" w:hAnsi="Calibri"/>
                <w:sz w:val="22"/>
                <w:szCs w:val="22"/>
              </w:rPr>
            </w:pPr>
          </w:p>
          <w:p w14:paraId="6D418AC9" w14:textId="77777777" w:rsidR="00B9362F" w:rsidRDefault="00B9362F" w:rsidP="00355A1E">
            <w:pPr>
              <w:rPr>
                <w:rFonts w:ascii="Calibri" w:hAnsi="Calibri"/>
                <w:sz w:val="22"/>
                <w:szCs w:val="22"/>
              </w:rPr>
            </w:pPr>
            <w:r>
              <w:rPr>
                <w:rFonts w:ascii="Calibri" w:hAnsi="Calibri"/>
                <w:sz w:val="22"/>
                <w:szCs w:val="22"/>
              </w:rPr>
              <w:t>Summer 2017, to be repeated before end 2018 if 2</w:t>
            </w:r>
            <w:r w:rsidRPr="00A879E8">
              <w:rPr>
                <w:rFonts w:ascii="Calibri" w:hAnsi="Calibri"/>
                <w:sz w:val="22"/>
                <w:szCs w:val="22"/>
                <w:vertAlign w:val="superscript"/>
              </w:rPr>
              <w:t>nd</w:t>
            </w:r>
            <w:r>
              <w:rPr>
                <w:rFonts w:ascii="Calibri" w:hAnsi="Calibri"/>
                <w:sz w:val="22"/>
                <w:szCs w:val="22"/>
              </w:rPr>
              <w:t xml:space="preserve"> interviewer required</w:t>
            </w:r>
          </w:p>
        </w:tc>
        <w:tc>
          <w:tcPr>
            <w:tcW w:w="6095" w:type="dxa"/>
            <w:shd w:val="clear" w:color="auto" w:fill="auto"/>
          </w:tcPr>
          <w:p w14:paraId="06762E7E" w14:textId="77777777"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have refined the interview approach and tried to identify any issues to resolve</w:t>
            </w:r>
          </w:p>
          <w:p w14:paraId="7EE259C8" w14:textId="77777777" w:rsidR="00B9362F" w:rsidRDefault="00B9362F" w:rsidP="00355A1E">
            <w:pPr>
              <w:pStyle w:val="ListParagraph"/>
              <w:ind w:left="215"/>
              <w:rPr>
                <w:rFonts w:ascii="Calibri" w:hAnsi="Calibri"/>
                <w:sz w:val="22"/>
                <w:szCs w:val="22"/>
              </w:rPr>
            </w:pPr>
          </w:p>
          <w:p w14:paraId="4C9B4ED5" w14:textId="77777777" w:rsidR="00B9362F" w:rsidRPr="00D008A9"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Researcher feedback indicates that they find the public feedback helpful and will alter their manner, methods or techniques in response</w:t>
            </w:r>
          </w:p>
        </w:tc>
        <w:tc>
          <w:tcPr>
            <w:tcW w:w="3119" w:type="dxa"/>
          </w:tcPr>
          <w:p w14:paraId="7D2C20E9" w14:textId="77777777" w:rsidR="00B9362F" w:rsidRDefault="00B9362F" w:rsidP="00355A1E">
            <w:pPr>
              <w:ind w:left="88"/>
              <w:rPr>
                <w:rFonts w:ascii="Calibri" w:hAnsi="Calibri"/>
                <w:sz w:val="22"/>
                <w:szCs w:val="22"/>
              </w:rPr>
            </w:pPr>
            <w:r>
              <w:rPr>
                <w:rFonts w:ascii="Calibri" w:hAnsi="Calibri"/>
                <w:sz w:val="22"/>
                <w:szCs w:val="22"/>
              </w:rPr>
              <w:t>Initial interviewer training anticipated in summer 2017.  Comments about practice interviewee and interviewer experience will be reported.</w:t>
            </w:r>
          </w:p>
        </w:tc>
      </w:tr>
      <w:tr w:rsidR="00B9362F" w14:paraId="4598ECFF" w14:textId="77777777" w:rsidTr="00004670">
        <w:tc>
          <w:tcPr>
            <w:tcW w:w="1696" w:type="dxa"/>
            <w:gridSpan w:val="2"/>
            <w:shd w:val="clear" w:color="auto" w:fill="auto"/>
          </w:tcPr>
          <w:p w14:paraId="513DB3AF" w14:textId="77777777" w:rsidR="00B9362F" w:rsidRDefault="00B9362F" w:rsidP="00355A1E">
            <w:pPr>
              <w:rPr>
                <w:rFonts w:ascii="Calibri" w:hAnsi="Calibri"/>
                <w:sz w:val="22"/>
                <w:szCs w:val="22"/>
              </w:rPr>
            </w:pPr>
            <w:r>
              <w:rPr>
                <w:rFonts w:ascii="Calibri" w:hAnsi="Calibri"/>
                <w:sz w:val="22"/>
                <w:szCs w:val="22"/>
              </w:rPr>
              <w:t xml:space="preserve">Role in management, by co-representing Theme 4 at HPRU advisory group (and receiving their </w:t>
            </w:r>
            <w:r>
              <w:rPr>
                <w:rFonts w:ascii="Calibri" w:hAnsi="Calibri"/>
                <w:sz w:val="22"/>
                <w:szCs w:val="22"/>
              </w:rPr>
              <w:lastRenderedPageBreak/>
              <w:t>critical comments)</w:t>
            </w:r>
          </w:p>
        </w:tc>
        <w:tc>
          <w:tcPr>
            <w:tcW w:w="2410" w:type="dxa"/>
            <w:gridSpan w:val="2"/>
            <w:shd w:val="clear" w:color="auto" w:fill="auto"/>
          </w:tcPr>
          <w:p w14:paraId="472312D8" w14:textId="77777777" w:rsidR="00B9362F" w:rsidRDefault="00B9362F" w:rsidP="00355A1E">
            <w:pPr>
              <w:rPr>
                <w:rFonts w:ascii="Calibri" w:hAnsi="Calibri"/>
                <w:sz w:val="22"/>
                <w:szCs w:val="22"/>
              </w:rPr>
            </w:pPr>
            <w:r>
              <w:rPr>
                <w:rFonts w:ascii="Calibri" w:hAnsi="Calibri"/>
                <w:sz w:val="22"/>
                <w:szCs w:val="22"/>
              </w:rPr>
              <w:lastRenderedPageBreak/>
              <w:t xml:space="preserve">To participate in research oversight process </w:t>
            </w:r>
          </w:p>
        </w:tc>
        <w:tc>
          <w:tcPr>
            <w:tcW w:w="1276" w:type="dxa"/>
            <w:gridSpan w:val="2"/>
            <w:shd w:val="clear" w:color="auto" w:fill="auto"/>
          </w:tcPr>
          <w:p w14:paraId="2796D33E" w14:textId="77777777" w:rsidR="00B9362F" w:rsidRDefault="00B9362F" w:rsidP="00355A1E">
            <w:pPr>
              <w:rPr>
                <w:rFonts w:ascii="Calibri" w:hAnsi="Calibri"/>
                <w:sz w:val="22"/>
                <w:szCs w:val="22"/>
              </w:rPr>
            </w:pPr>
            <w:r>
              <w:rPr>
                <w:rFonts w:ascii="Calibri" w:hAnsi="Calibri"/>
                <w:sz w:val="22"/>
                <w:szCs w:val="22"/>
              </w:rPr>
              <w:t>June 2017</w:t>
            </w:r>
          </w:p>
        </w:tc>
        <w:tc>
          <w:tcPr>
            <w:tcW w:w="6095" w:type="dxa"/>
            <w:shd w:val="clear" w:color="auto" w:fill="auto"/>
          </w:tcPr>
          <w:p w14:paraId="6032C524" w14:textId="77777777"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benefited from the meeting and were given constructive feedback about their role in the research design.</w:t>
            </w:r>
          </w:p>
          <w:p w14:paraId="16C1EB32" w14:textId="77777777" w:rsidR="00B9362F" w:rsidRDefault="00B9362F" w:rsidP="00355A1E">
            <w:pPr>
              <w:pStyle w:val="ListParagraph"/>
              <w:ind w:left="215"/>
              <w:rPr>
                <w:rFonts w:ascii="Calibri" w:hAnsi="Calibri"/>
                <w:sz w:val="22"/>
                <w:szCs w:val="22"/>
              </w:rPr>
            </w:pPr>
          </w:p>
          <w:p w14:paraId="28688CF8" w14:textId="77777777" w:rsidR="00B9362F" w:rsidRPr="008223CE"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Researcher feedback indicates that the PPI representative was able to co-present well with the lead researcher attending the meeting.</w:t>
            </w:r>
          </w:p>
        </w:tc>
        <w:tc>
          <w:tcPr>
            <w:tcW w:w="3119" w:type="dxa"/>
          </w:tcPr>
          <w:p w14:paraId="4DF4DB96" w14:textId="77777777" w:rsidR="00B9362F" w:rsidRDefault="00B9362F" w:rsidP="00355A1E">
            <w:pPr>
              <w:ind w:left="88"/>
              <w:rPr>
                <w:rFonts w:ascii="Calibri" w:hAnsi="Calibri"/>
                <w:sz w:val="22"/>
                <w:szCs w:val="22"/>
              </w:rPr>
            </w:pPr>
            <w:r>
              <w:rPr>
                <w:rFonts w:ascii="Calibri" w:hAnsi="Calibri"/>
                <w:sz w:val="22"/>
                <w:szCs w:val="22"/>
              </w:rPr>
              <w:t>Attendance at advisory meeting will be 11 June 2017</w:t>
            </w:r>
          </w:p>
        </w:tc>
      </w:tr>
      <w:tr w:rsidR="00B9362F" w14:paraId="0D141F7A" w14:textId="77777777" w:rsidTr="00004670">
        <w:tc>
          <w:tcPr>
            <w:tcW w:w="1696" w:type="dxa"/>
            <w:gridSpan w:val="2"/>
            <w:shd w:val="clear" w:color="auto" w:fill="auto"/>
          </w:tcPr>
          <w:p w14:paraId="16C8D4DF" w14:textId="77777777" w:rsidR="00B9362F" w:rsidRDefault="00B9362F" w:rsidP="00355A1E">
            <w:pPr>
              <w:rPr>
                <w:rFonts w:ascii="Calibri" w:hAnsi="Calibri"/>
                <w:sz w:val="22"/>
                <w:szCs w:val="22"/>
              </w:rPr>
            </w:pPr>
            <w:r>
              <w:rPr>
                <w:rFonts w:ascii="Calibri" w:hAnsi="Calibri"/>
                <w:sz w:val="22"/>
                <w:szCs w:val="22"/>
              </w:rPr>
              <w:t>Undertaking part of the research (recruitment activities)</w:t>
            </w:r>
          </w:p>
        </w:tc>
        <w:tc>
          <w:tcPr>
            <w:tcW w:w="2410" w:type="dxa"/>
            <w:gridSpan w:val="2"/>
            <w:shd w:val="clear" w:color="auto" w:fill="auto"/>
          </w:tcPr>
          <w:p w14:paraId="319B2782" w14:textId="77777777" w:rsidR="00B9362F" w:rsidRPr="008223CE" w:rsidRDefault="00B9362F" w:rsidP="00355A1E">
            <w:pPr>
              <w:rPr>
                <w:rFonts w:ascii="Calibri" w:hAnsi="Calibri"/>
                <w:sz w:val="22"/>
                <w:szCs w:val="22"/>
              </w:rPr>
            </w:pPr>
            <w:r>
              <w:rPr>
                <w:rFonts w:ascii="Calibri" w:hAnsi="Calibri"/>
                <w:sz w:val="22"/>
                <w:szCs w:val="22"/>
              </w:rPr>
              <w:t>To help with recruitment by disseminating recruitment leaflets at British Red Cross Centre in Norwich</w:t>
            </w:r>
          </w:p>
        </w:tc>
        <w:tc>
          <w:tcPr>
            <w:tcW w:w="1276" w:type="dxa"/>
            <w:gridSpan w:val="2"/>
            <w:shd w:val="clear" w:color="auto" w:fill="auto"/>
          </w:tcPr>
          <w:p w14:paraId="28477E6B" w14:textId="77777777" w:rsidR="00B9362F" w:rsidRDefault="00B9362F" w:rsidP="00355A1E">
            <w:pPr>
              <w:rPr>
                <w:rFonts w:ascii="Calibri" w:hAnsi="Calibri"/>
                <w:sz w:val="22"/>
                <w:szCs w:val="22"/>
              </w:rPr>
            </w:pPr>
            <w:r>
              <w:rPr>
                <w:rFonts w:ascii="Calibri" w:hAnsi="Calibri"/>
                <w:sz w:val="22"/>
                <w:szCs w:val="22"/>
              </w:rPr>
              <w:t>Summer 2017 and onwards later</w:t>
            </w:r>
          </w:p>
        </w:tc>
        <w:tc>
          <w:tcPr>
            <w:tcW w:w="6095" w:type="dxa"/>
            <w:shd w:val="clear" w:color="auto" w:fill="auto"/>
          </w:tcPr>
          <w:p w14:paraId="59C9A0B1" w14:textId="77777777" w:rsidR="00B9362F" w:rsidRPr="008223CE"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and Researcher feedback is that the materials for recruitment were easily exchanged,  easy to distribute</w:t>
            </w:r>
          </w:p>
        </w:tc>
        <w:tc>
          <w:tcPr>
            <w:tcW w:w="3119" w:type="dxa"/>
          </w:tcPr>
          <w:p w14:paraId="27268DA1" w14:textId="77777777" w:rsidR="00B9362F" w:rsidRDefault="00B9362F" w:rsidP="00355A1E">
            <w:pPr>
              <w:ind w:left="88"/>
              <w:rPr>
                <w:rFonts w:ascii="Calibri" w:hAnsi="Calibri"/>
                <w:sz w:val="22"/>
                <w:szCs w:val="22"/>
              </w:rPr>
            </w:pPr>
            <w:r>
              <w:rPr>
                <w:rFonts w:ascii="Calibri" w:hAnsi="Calibri"/>
                <w:sz w:val="22"/>
                <w:szCs w:val="22"/>
              </w:rPr>
              <w:t>Ongoing</w:t>
            </w:r>
          </w:p>
        </w:tc>
      </w:tr>
      <w:tr w:rsidR="00B9362F" w14:paraId="7F180BD3" w14:textId="77777777" w:rsidTr="00004670">
        <w:tc>
          <w:tcPr>
            <w:tcW w:w="1696" w:type="dxa"/>
            <w:gridSpan w:val="2"/>
            <w:shd w:val="clear" w:color="auto" w:fill="auto"/>
          </w:tcPr>
          <w:p w14:paraId="58083175" w14:textId="77777777" w:rsidR="00B9362F" w:rsidRDefault="00B9362F" w:rsidP="00355A1E">
            <w:pPr>
              <w:rPr>
                <w:rFonts w:ascii="Calibri" w:hAnsi="Calibri"/>
                <w:sz w:val="22"/>
                <w:szCs w:val="22"/>
              </w:rPr>
            </w:pPr>
            <w:r>
              <w:rPr>
                <w:rFonts w:ascii="Calibri" w:hAnsi="Calibri"/>
                <w:sz w:val="22"/>
                <w:szCs w:val="22"/>
              </w:rPr>
              <w:t>Identifying, prioritising, Designing and Managing: Co-authorship of academic report on PPI</w:t>
            </w:r>
          </w:p>
        </w:tc>
        <w:tc>
          <w:tcPr>
            <w:tcW w:w="2410" w:type="dxa"/>
            <w:gridSpan w:val="2"/>
            <w:shd w:val="clear" w:color="auto" w:fill="auto"/>
          </w:tcPr>
          <w:p w14:paraId="4D5E40CD" w14:textId="77777777" w:rsidR="00B9362F" w:rsidRPr="008223CE" w:rsidRDefault="00B9362F" w:rsidP="00355A1E">
            <w:pPr>
              <w:rPr>
                <w:rFonts w:ascii="Calibri" w:hAnsi="Calibri"/>
                <w:sz w:val="22"/>
                <w:szCs w:val="22"/>
              </w:rPr>
            </w:pPr>
            <w:r>
              <w:rPr>
                <w:rFonts w:ascii="Calibri" w:hAnsi="Calibri"/>
                <w:sz w:val="22"/>
                <w:szCs w:val="22"/>
              </w:rPr>
              <w:t>To have public contribution to description and analysis of the PPI experience</w:t>
            </w:r>
          </w:p>
        </w:tc>
        <w:tc>
          <w:tcPr>
            <w:tcW w:w="1276" w:type="dxa"/>
            <w:gridSpan w:val="2"/>
            <w:shd w:val="clear" w:color="auto" w:fill="auto"/>
          </w:tcPr>
          <w:p w14:paraId="33E8D682" w14:textId="77777777" w:rsidR="00B9362F" w:rsidRDefault="00B9362F" w:rsidP="00355A1E">
            <w:pPr>
              <w:rPr>
                <w:rFonts w:ascii="Calibri" w:hAnsi="Calibri"/>
                <w:sz w:val="22"/>
                <w:szCs w:val="22"/>
              </w:rPr>
            </w:pPr>
            <w:r>
              <w:rPr>
                <w:rFonts w:ascii="Calibri" w:hAnsi="Calibri"/>
                <w:sz w:val="22"/>
                <w:szCs w:val="22"/>
              </w:rPr>
              <w:t>Summer 2017</w:t>
            </w:r>
          </w:p>
        </w:tc>
        <w:tc>
          <w:tcPr>
            <w:tcW w:w="6095" w:type="dxa"/>
            <w:shd w:val="clear" w:color="auto" w:fill="auto"/>
          </w:tcPr>
          <w:p w14:paraId="067A117F" w14:textId="77777777"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 xml:space="preserve">Public representatives approve of the publication, and are satisfied to be collaborative authors on a written report (for peer review journal) about our PPI process </w:t>
            </w:r>
          </w:p>
          <w:p w14:paraId="13FDE791" w14:textId="77777777" w:rsidR="00B9362F" w:rsidRDefault="00B9362F" w:rsidP="00355A1E">
            <w:pPr>
              <w:pStyle w:val="ListParagraph"/>
              <w:ind w:left="215"/>
              <w:rPr>
                <w:rFonts w:ascii="Calibri" w:hAnsi="Calibri"/>
                <w:sz w:val="22"/>
                <w:szCs w:val="22"/>
              </w:rPr>
            </w:pPr>
          </w:p>
          <w:p w14:paraId="0EA96285" w14:textId="77777777" w:rsidR="00B9362F" w:rsidRPr="008223CE"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w:t>
            </w:r>
            <w:r>
              <w:rPr>
                <w:rFonts w:ascii="Calibri" w:hAnsi="Calibri"/>
                <w:sz w:val="22"/>
                <w:szCs w:val="22"/>
              </w:rPr>
              <w:t>perspective</w:t>
            </w:r>
            <w:r w:rsidRPr="00D31211">
              <w:rPr>
                <w:rFonts w:ascii="Calibri" w:hAnsi="Calibri"/>
                <w:sz w:val="22"/>
                <w:szCs w:val="22"/>
              </w:rPr>
              <w:t xml:space="preserve"> helpful in </w:t>
            </w:r>
            <w:r>
              <w:rPr>
                <w:rFonts w:ascii="Calibri" w:hAnsi="Calibri"/>
                <w:sz w:val="22"/>
                <w:szCs w:val="22"/>
              </w:rPr>
              <w:t>understanding the merits and challenges of PPI</w:t>
            </w:r>
          </w:p>
        </w:tc>
        <w:tc>
          <w:tcPr>
            <w:tcW w:w="3119" w:type="dxa"/>
          </w:tcPr>
          <w:p w14:paraId="13354EAD" w14:textId="77777777" w:rsidR="00B9362F" w:rsidRDefault="00B9362F" w:rsidP="00355A1E">
            <w:pPr>
              <w:ind w:left="88"/>
              <w:rPr>
                <w:rFonts w:ascii="Calibri" w:hAnsi="Calibri"/>
                <w:sz w:val="22"/>
                <w:szCs w:val="22"/>
              </w:rPr>
            </w:pPr>
            <w:r>
              <w:rPr>
                <w:rFonts w:ascii="Calibri" w:hAnsi="Calibri"/>
                <w:sz w:val="22"/>
                <w:szCs w:val="22"/>
              </w:rPr>
              <w:t>Draft journal article prepared, hoped for submission in summer 2017</w:t>
            </w:r>
          </w:p>
        </w:tc>
      </w:tr>
      <w:tr w:rsidR="00B9362F" w14:paraId="0F0816C2" w14:textId="77777777" w:rsidTr="00004670">
        <w:tc>
          <w:tcPr>
            <w:tcW w:w="1696" w:type="dxa"/>
            <w:gridSpan w:val="2"/>
            <w:shd w:val="clear" w:color="auto" w:fill="auto"/>
          </w:tcPr>
          <w:p w14:paraId="588A9AB5" w14:textId="77777777" w:rsidR="00B9362F" w:rsidRDefault="00B9362F" w:rsidP="00355A1E">
            <w:pPr>
              <w:rPr>
                <w:rFonts w:ascii="Calibri" w:hAnsi="Calibri"/>
                <w:sz w:val="22"/>
                <w:szCs w:val="22"/>
              </w:rPr>
            </w:pPr>
            <w:r>
              <w:rPr>
                <w:rFonts w:ascii="Calibri" w:hAnsi="Calibri"/>
                <w:sz w:val="22"/>
                <w:szCs w:val="22"/>
              </w:rPr>
              <w:t>Undertaking: Evaluation of thematic mapping that researchers created</w:t>
            </w:r>
          </w:p>
        </w:tc>
        <w:tc>
          <w:tcPr>
            <w:tcW w:w="2410" w:type="dxa"/>
            <w:gridSpan w:val="2"/>
            <w:shd w:val="clear" w:color="auto" w:fill="auto"/>
          </w:tcPr>
          <w:p w14:paraId="585DF1BC" w14:textId="77777777" w:rsidR="00B9362F" w:rsidRPr="008223CE" w:rsidRDefault="00B9362F" w:rsidP="00355A1E">
            <w:pPr>
              <w:rPr>
                <w:rFonts w:ascii="Calibri" w:hAnsi="Calibri"/>
                <w:sz w:val="22"/>
                <w:szCs w:val="22"/>
              </w:rPr>
            </w:pPr>
            <w:r w:rsidRPr="00D31211">
              <w:rPr>
                <w:rFonts w:ascii="Calibri" w:hAnsi="Calibri"/>
                <w:sz w:val="22"/>
                <w:szCs w:val="22"/>
              </w:rPr>
              <w:t xml:space="preserve">To provide </w:t>
            </w:r>
            <w:r>
              <w:rPr>
                <w:rFonts w:ascii="Calibri" w:hAnsi="Calibri"/>
                <w:sz w:val="22"/>
                <w:szCs w:val="22"/>
              </w:rPr>
              <w:t xml:space="preserve">qualitative &amp; verification </w:t>
            </w:r>
            <w:r w:rsidRPr="00D31211">
              <w:rPr>
                <w:rFonts w:ascii="Calibri" w:hAnsi="Calibri"/>
                <w:sz w:val="22"/>
                <w:szCs w:val="22"/>
              </w:rPr>
              <w:t xml:space="preserve">feedback about </w:t>
            </w:r>
            <w:r>
              <w:rPr>
                <w:rFonts w:ascii="Calibri" w:hAnsi="Calibri"/>
                <w:sz w:val="22"/>
                <w:szCs w:val="22"/>
              </w:rPr>
              <w:t xml:space="preserve">data collected </w:t>
            </w:r>
          </w:p>
        </w:tc>
        <w:tc>
          <w:tcPr>
            <w:tcW w:w="1276" w:type="dxa"/>
            <w:gridSpan w:val="2"/>
            <w:shd w:val="clear" w:color="auto" w:fill="auto"/>
          </w:tcPr>
          <w:p w14:paraId="270FAD4A" w14:textId="77777777" w:rsidR="00B9362F" w:rsidRDefault="00B9362F" w:rsidP="00355A1E">
            <w:pPr>
              <w:rPr>
                <w:rFonts w:ascii="Calibri" w:hAnsi="Calibri"/>
                <w:sz w:val="22"/>
                <w:szCs w:val="22"/>
              </w:rPr>
            </w:pPr>
            <w:r>
              <w:rPr>
                <w:rFonts w:ascii="Calibri" w:hAnsi="Calibri"/>
                <w:sz w:val="22"/>
                <w:szCs w:val="22"/>
              </w:rPr>
              <w:t>2018</w:t>
            </w:r>
          </w:p>
        </w:tc>
        <w:tc>
          <w:tcPr>
            <w:tcW w:w="6095" w:type="dxa"/>
            <w:shd w:val="clear" w:color="auto" w:fill="auto"/>
          </w:tcPr>
          <w:p w14:paraId="1F77AA41" w14:textId="77777777"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felt that they have confirmed or modified interpretation of themes initially suggested by the investigators after reading the interview transcripts</w:t>
            </w:r>
          </w:p>
          <w:p w14:paraId="4CCB4632" w14:textId="77777777" w:rsidR="00B9362F" w:rsidRDefault="00B9362F" w:rsidP="00355A1E">
            <w:pPr>
              <w:pStyle w:val="ListParagraph"/>
              <w:ind w:left="215"/>
              <w:rPr>
                <w:rFonts w:ascii="Calibri" w:hAnsi="Calibri"/>
                <w:sz w:val="22"/>
                <w:szCs w:val="22"/>
              </w:rPr>
            </w:pPr>
          </w:p>
          <w:p w14:paraId="2D50CA0D" w14:textId="77777777" w:rsidR="00B9362F" w:rsidRPr="008223CE"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feedback helpful </w:t>
            </w:r>
            <w:r>
              <w:rPr>
                <w:rFonts w:ascii="Calibri" w:hAnsi="Calibri"/>
                <w:sz w:val="22"/>
                <w:szCs w:val="22"/>
              </w:rPr>
              <w:t>in better analysing &amp; understanding what the collected data mean</w:t>
            </w:r>
          </w:p>
        </w:tc>
        <w:tc>
          <w:tcPr>
            <w:tcW w:w="3119" w:type="dxa"/>
          </w:tcPr>
          <w:p w14:paraId="0F641F0E" w14:textId="77777777" w:rsidR="00B9362F" w:rsidRDefault="00B9362F" w:rsidP="00355A1E">
            <w:pPr>
              <w:ind w:left="88"/>
              <w:rPr>
                <w:rFonts w:ascii="Calibri" w:hAnsi="Calibri"/>
                <w:sz w:val="22"/>
                <w:szCs w:val="22"/>
              </w:rPr>
            </w:pPr>
            <w:r>
              <w:rPr>
                <w:rFonts w:ascii="Calibri" w:hAnsi="Calibri"/>
                <w:sz w:val="22"/>
                <w:szCs w:val="22"/>
              </w:rPr>
              <w:t>Not started, Research participant recruitment still in process</w:t>
            </w:r>
          </w:p>
        </w:tc>
      </w:tr>
      <w:tr w:rsidR="00B9362F" w14:paraId="2B271A73" w14:textId="77777777" w:rsidTr="00004670">
        <w:tc>
          <w:tcPr>
            <w:tcW w:w="1696" w:type="dxa"/>
            <w:gridSpan w:val="2"/>
            <w:shd w:val="clear" w:color="auto" w:fill="auto"/>
          </w:tcPr>
          <w:p w14:paraId="445DCC92" w14:textId="77777777" w:rsidR="00B9362F" w:rsidRDefault="00B9362F" w:rsidP="00355A1E">
            <w:pPr>
              <w:rPr>
                <w:rFonts w:ascii="Calibri" w:hAnsi="Calibri"/>
                <w:sz w:val="22"/>
                <w:szCs w:val="22"/>
              </w:rPr>
            </w:pPr>
            <w:r>
              <w:rPr>
                <w:rFonts w:ascii="Calibri" w:hAnsi="Calibri"/>
                <w:sz w:val="22"/>
                <w:szCs w:val="22"/>
              </w:rPr>
              <w:t xml:space="preserve">Evaluation and impact: Presentation of study results to Norwich people involved in service delivery to forced migrants </w:t>
            </w:r>
          </w:p>
        </w:tc>
        <w:tc>
          <w:tcPr>
            <w:tcW w:w="2410" w:type="dxa"/>
            <w:gridSpan w:val="2"/>
            <w:shd w:val="clear" w:color="auto" w:fill="auto"/>
          </w:tcPr>
          <w:p w14:paraId="5D7DCA70" w14:textId="77777777" w:rsidR="00B9362F" w:rsidRPr="00D31211" w:rsidRDefault="00B9362F" w:rsidP="00355A1E">
            <w:pPr>
              <w:rPr>
                <w:rFonts w:ascii="Calibri" w:hAnsi="Calibri"/>
                <w:sz w:val="22"/>
                <w:szCs w:val="22"/>
              </w:rPr>
            </w:pPr>
            <w:r>
              <w:rPr>
                <w:rFonts w:ascii="Calibri" w:hAnsi="Calibri"/>
                <w:sz w:val="22"/>
                <w:szCs w:val="22"/>
              </w:rPr>
              <w:t>To provide service provider perspective on both our interpretation of collected data; but also to identify any contrasts with how services are delivered or how people find support they need</w:t>
            </w:r>
          </w:p>
        </w:tc>
        <w:tc>
          <w:tcPr>
            <w:tcW w:w="1276" w:type="dxa"/>
            <w:gridSpan w:val="2"/>
            <w:shd w:val="clear" w:color="auto" w:fill="auto"/>
          </w:tcPr>
          <w:p w14:paraId="3DCC1CE1" w14:textId="77777777" w:rsidR="00B9362F" w:rsidRDefault="00B9362F" w:rsidP="00355A1E">
            <w:pPr>
              <w:rPr>
                <w:rFonts w:ascii="Calibri" w:hAnsi="Calibri"/>
                <w:sz w:val="22"/>
                <w:szCs w:val="22"/>
              </w:rPr>
            </w:pPr>
            <w:r>
              <w:rPr>
                <w:rFonts w:ascii="Calibri" w:hAnsi="Calibri"/>
                <w:sz w:val="22"/>
                <w:szCs w:val="22"/>
              </w:rPr>
              <w:t>2018 or 2019</w:t>
            </w:r>
          </w:p>
        </w:tc>
        <w:tc>
          <w:tcPr>
            <w:tcW w:w="6095" w:type="dxa"/>
            <w:shd w:val="clear" w:color="auto" w:fill="auto"/>
          </w:tcPr>
          <w:p w14:paraId="5A7CB6AF" w14:textId="77777777" w:rsidR="00B9362F" w:rsidRDefault="00B9362F" w:rsidP="00B9362F">
            <w:pPr>
              <w:pStyle w:val="ListParagraph"/>
              <w:numPr>
                <w:ilvl w:val="0"/>
                <w:numId w:val="34"/>
              </w:numPr>
              <w:ind w:left="215" w:hanging="215"/>
              <w:rPr>
                <w:rFonts w:ascii="Calibri" w:hAnsi="Calibri"/>
                <w:sz w:val="22"/>
                <w:szCs w:val="22"/>
              </w:rPr>
            </w:pPr>
            <w:r>
              <w:rPr>
                <w:rFonts w:ascii="Calibri" w:hAnsi="Calibri"/>
                <w:sz w:val="22"/>
                <w:szCs w:val="22"/>
              </w:rPr>
              <w:t>Public feedback indicates that they feel that they have contributed their “on the coalface” perspectives</w:t>
            </w:r>
          </w:p>
          <w:p w14:paraId="7D793455" w14:textId="77777777" w:rsidR="00B9362F" w:rsidRDefault="00B9362F" w:rsidP="00355A1E">
            <w:pPr>
              <w:pStyle w:val="ListParagraph"/>
              <w:ind w:left="215"/>
              <w:rPr>
                <w:rFonts w:ascii="Calibri" w:hAnsi="Calibri"/>
                <w:sz w:val="22"/>
                <w:szCs w:val="22"/>
              </w:rPr>
            </w:pPr>
          </w:p>
          <w:p w14:paraId="2DD99C23" w14:textId="77777777" w:rsidR="00B9362F" w:rsidRDefault="00B9362F" w:rsidP="00B9362F">
            <w:pPr>
              <w:pStyle w:val="ListParagraph"/>
              <w:numPr>
                <w:ilvl w:val="0"/>
                <w:numId w:val="34"/>
              </w:numPr>
              <w:ind w:left="215" w:hanging="215"/>
              <w:rPr>
                <w:rFonts w:ascii="Calibri" w:hAnsi="Calibri"/>
                <w:sz w:val="22"/>
                <w:szCs w:val="22"/>
              </w:rPr>
            </w:pPr>
            <w:r w:rsidRPr="00D31211">
              <w:rPr>
                <w:rFonts w:ascii="Calibri" w:hAnsi="Calibri"/>
                <w:sz w:val="22"/>
                <w:szCs w:val="22"/>
              </w:rPr>
              <w:t>Research</w:t>
            </w:r>
            <w:r>
              <w:rPr>
                <w:rFonts w:ascii="Calibri" w:hAnsi="Calibri"/>
                <w:sz w:val="22"/>
                <w:szCs w:val="22"/>
              </w:rPr>
              <w:t>er</w:t>
            </w:r>
            <w:r w:rsidRPr="00D31211">
              <w:rPr>
                <w:rFonts w:ascii="Calibri" w:hAnsi="Calibri"/>
                <w:sz w:val="22"/>
                <w:szCs w:val="22"/>
              </w:rPr>
              <w:t xml:space="preserve"> feedback indicates that they find the public feedback helpful </w:t>
            </w:r>
            <w:r>
              <w:rPr>
                <w:rFonts w:ascii="Calibri" w:hAnsi="Calibri"/>
                <w:sz w:val="22"/>
                <w:szCs w:val="22"/>
              </w:rPr>
              <w:t>in better analysing &amp; understanding what the collected data mean</w:t>
            </w:r>
          </w:p>
        </w:tc>
        <w:tc>
          <w:tcPr>
            <w:tcW w:w="3119" w:type="dxa"/>
          </w:tcPr>
          <w:p w14:paraId="1047BCEA" w14:textId="77777777" w:rsidR="00B9362F" w:rsidRDefault="00B9362F" w:rsidP="00355A1E">
            <w:pPr>
              <w:ind w:left="88"/>
              <w:rPr>
                <w:rFonts w:ascii="Calibri" w:hAnsi="Calibri"/>
                <w:sz w:val="22"/>
                <w:szCs w:val="22"/>
              </w:rPr>
            </w:pPr>
            <w:r>
              <w:rPr>
                <w:rFonts w:ascii="Calibri" w:hAnsi="Calibri"/>
                <w:sz w:val="22"/>
                <w:szCs w:val="22"/>
              </w:rPr>
              <w:t>Future activity</w:t>
            </w:r>
          </w:p>
        </w:tc>
      </w:tr>
    </w:tbl>
    <w:p w14:paraId="162E8585" w14:textId="77777777" w:rsidR="00D52F31" w:rsidRDefault="00D52F31"/>
    <w:p w14:paraId="11C50DB2" w14:textId="77777777" w:rsidR="00731B32" w:rsidRDefault="00731B32" w:rsidP="002611C7">
      <w:pPr>
        <w:rPr>
          <w:rFonts w:ascii="Calibri" w:hAnsi="Calibri"/>
          <w:sz w:val="22"/>
          <w:szCs w:val="22"/>
        </w:rPr>
      </w:pPr>
    </w:p>
    <w:sectPr w:rsidR="00731B32" w:rsidSect="009046A3">
      <w:footerReference w:type="default" r:id="rId9"/>
      <w:pgSz w:w="16838" w:h="11906" w:orient="landscape"/>
      <w:pgMar w:top="1134" w:right="851" w:bottom="1134" w:left="144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07228" w14:textId="77777777" w:rsidR="005B527B" w:rsidRDefault="005B527B" w:rsidP="00F017C6">
      <w:r>
        <w:separator/>
      </w:r>
    </w:p>
  </w:endnote>
  <w:endnote w:type="continuationSeparator" w:id="0">
    <w:p w14:paraId="22C1C926" w14:textId="77777777" w:rsidR="005B527B" w:rsidRDefault="005B527B" w:rsidP="00F0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B40C6" w14:textId="77777777" w:rsidR="00CF21F2" w:rsidRDefault="00B267FF">
    <w:pPr>
      <w:pStyle w:val="Footer"/>
    </w:pPr>
    <w:r>
      <w:t>May 2017</w:t>
    </w:r>
  </w:p>
  <w:p w14:paraId="5B10BC54" w14:textId="77777777" w:rsidR="00AB22DD" w:rsidRDefault="00AB2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EAA9F" w14:textId="77777777" w:rsidR="005B527B" w:rsidRDefault="005B527B" w:rsidP="00F017C6">
      <w:r>
        <w:separator/>
      </w:r>
    </w:p>
  </w:footnote>
  <w:footnote w:type="continuationSeparator" w:id="0">
    <w:p w14:paraId="3B3A0F02" w14:textId="77777777" w:rsidR="005B527B" w:rsidRDefault="005B527B" w:rsidP="00F01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689B"/>
    <w:multiLevelType w:val="multilevel"/>
    <w:tmpl w:val="B98A74B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49339AA"/>
    <w:multiLevelType w:val="hybridMultilevel"/>
    <w:tmpl w:val="CE5649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B030EA"/>
    <w:multiLevelType w:val="hybridMultilevel"/>
    <w:tmpl w:val="91E8E4A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075E89"/>
    <w:multiLevelType w:val="hybridMultilevel"/>
    <w:tmpl w:val="CB4CC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F33274"/>
    <w:multiLevelType w:val="hybridMultilevel"/>
    <w:tmpl w:val="A06A8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E56F3"/>
    <w:multiLevelType w:val="hybridMultilevel"/>
    <w:tmpl w:val="C95C472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46B8C"/>
    <w:multiLevelType w:val="hybridMultilevel"/>
    <w:tmpl w:val="E460D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114B0"/>
    <w:multiLevelType w:val="hybridMultilevel"/>
    <w:tmpl w:val="3466A9B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E03032"/>
    <w:multiLevelType w:val="hybridMultilevel"/>
    <w:tmpl w:val="5462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DE3BE4"/>
    <w:multiLevelType w:val="hybridMultilevel"/>
    <w:tmpl w:val="D92601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E43120"/>
    <w:multiLevelType w:val="multilevel"/>
    <w:tmpl w:val="097071AA"/>
    <w:lvl w:ilvl="0">
      <w:start w:val="1"/>
      <w:numFmt w:val="decimal"/>
      <w:pStyle w:val="Heading1"/>
      <w:lvlText w:val="%1."/>
      <w:lvlJc w:val="left"/>
      <w:pPr>
        <w:tabs>
          <w:tab w:val="num" w:pos="360"/>
        </w:tabs>
        <w:ind w:left="360" w:hanging="360"/>
      </w:pPr>
      <w:rPr>
        <w:rFonts w:hint="default"/>
        <w:sz w:val="24"/>
      </w:rPr>
    </w:lvl>
    <w:lvl w:ilvl="1">
      <w:start w:val="1"/>
      <w:numFmt w:val="decimal"/>
      <w:lvlRestart w:val="0"/>
      <w:pStyle w:val="Heading2"/>
      <w:lvlText w:val="%1.%2."/>
      <w:lvlJc w:val="left"/>
      <w:pPr>
        <w:tabs>
          <w:tab w:val="num" w:pos="612"/>
        </w:tabs>
        <w:ind w:left="612" w:hanging="432"/>
      </w:pPr>
      <w:rPr>
        <w:rFonts w:hint="default"/>
      </w:rPr>
    </w:lvl>
    <w:lvl w:ilvl="2">
      <w:start w:val="1"/>
      <w:numFmt w:val="decimal"/>
      <w:pStyle w:val="Heading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C835649"/>
    <w:multiLevelType w:val="hybridMultilevel"/>
    <w:tmpl w:val="D84A2CD8"/>
    <w:lvl w:ilvl="0" w:tplc="8F402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53998"/>
    <w:multiLevelType w:val="hybridMultilevel"/>
    <w:tmpl w:val="5890E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2884906"/>
    <w:multiLevelType w:val="hybridMultilevel"/>
    <w:tmpl w:val="D8167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B05174"/>
    <w:multiLevelType w:val="hybridMultilevel"/>
    <w:tmpl w:val="4CDC1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383DD6"/>
    <w:multiLevelType w:val="multilevel"/>
    <w:tmpl w:val="F88EEB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A8316C"/>
    <w:multiLevelType w:val="hybridMultilevel"/>
    <w:tmpl w:val="9552E2B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4F42DD"/>
    <w:multiLevelType w:val="hybridMultilevel"/>
    <w:tmpl w:val="157227AE"/>
    <w:lvl w:ilvl="0" w:tplc="A5A64D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D43EF2"/>
    <w:multiLevelType w:val="hybridMultilevel"/>
    <w:tmpl w:val="23E67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9B57D5"/>
    <w:multiLevelType w:val="hybridMultilevel"/>
    <w:tmpl w:val="181C4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7A4761"/>
    <w:multiLevelType w:val="hybridMultilevel"/>
    <w:tmpl w:val="245068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8266EF"/>
    <w:multiLevelType w:val="hybridMultilevel"/>
    <w:tmpl w:val="408E1C4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A6762B"/>
    <w:multiLevelType w:val="hybridMultilevel"/>
    <w:tmpl w:val="5EFA2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3D670E"/>
    <w:multiLevelType w:val="hybridMultilevel"/>
    <w:tmpl w:val="BDDEA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D41037D"/>
    <w:multiLevelType w:val="hybridMultilevel"/>
    <w:tmpl w:val="003AF6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DE50120"/>
    <w:multiLevelType w:val="hybridMultilevel"/>
    <w:tmpl w:val="BD469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49719F"/>
    <w:multiLevelType w:val="hybridMultilevel"/>
    <w:tmpl w:val="1988EC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AB4BEE"/>
    <w:multiLevelType w:val="hybridMultilevel"/>
    <w:tmpl w:val="555AC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9F612C"/>
    <w:multiLevelType w:val="hybridMultilevel"/>
    <w:tmpl w:val="3398D078"/>
    <w:lvl w:ilvl="0" w:tplc="6DCEF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092B9B"/>
    <w:multiLevelType w:val="hybridMultilevel"/>
    <w:tmpl w:val="2DEAE32A"/>
    <w:lvl w:ilvl="0" w:tplc="C72EBE1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5A437871"/>
    <w:multiLevelType w:val="hybridMultilevel"/>
    <w:tmpl w:val="A622E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315184"/>
    <w:multiLevelType w:val="multilevel"/>
    <w:tmpl w:val="10560032"/>
    <w:lvl w:ilvl="0">
      <w:start w:val="1"/>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2" w15:restartNumberingAfterBreak="0">
    <w:nsid w:val="5F4D5527"/>
    <w:multiLevelType w:val="hybridMultilevel"/>
    <w:tmpl w:val="E93C4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C05FA3"/>
    <w:multiLevelType w:val="hybridMultilevel"/>
    <w:tmpl w:val="1AC42E8C"/>
    <w:lvl w:ilvl="0" w:tplc="1FE88C9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FA2024"/>
    <w:multiLevelType w:val="hybridMultilevel"/>
    <w:tmpl w:val="FF2497B0"/>
    <w:lvl w:ilvl="0" w:tplc="0809000F">
      <w:start w:val="1"/>
      <w:numFmt w:val="decimal"/>
      <w:lvlText w:val="%1."/>
      <w:lvlJc w:val="left"/>
      <w:pPr>
        <w:ind w:left="2160" w:hanging="360"/>
      </w:pPr>
      <w:rPr>
        <w:rFonts w:hint="default"/>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5" w15:restartNumberingAfterBreak="0">
    <w:nsid w:val="652D4E15"/>
    <w:multiLevelType w:val="hybridMultilevel"/>
    <w:tmpl w:val="35D6BE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B3598A"/>
    <w:multiLevelType w:val="hybridMultilevel"/>
    <w:tmpl w:val="860A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7A3C16"/>
    <w:multiLevelType w:val="hybridMultilevel"/>
    <w:tmpl w:val="31526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C16C07"/>
    <w:multiLevelType w:val="hybridMultilevel"/>
    <w:tmpl w:val="303252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C0B5B"/>
    <w:multiLevelType w:val="hybridMultilevel"/>
    <w:tmpl w:val="C89E07A4"/>
    <w:lvl w:ilvl="0" w:tplc="8AEE5EC2">
      <w:start w:val="1"/>
      <w:numFmt w:val="bullet"/>
      <w:lvlText w:val="•"/>
      <w:lvlJc w:val="left"/>
      <w:pPr>
        <w:tabs>
          <w:tab w:val="num" w:pos="720"/>
        </w:tabs>
        <w:ind w:left="720" w:hanging="360"/>
      </w:pPr>
      <w:rPr>
        <w:rFonts w:ascii="Arial" w:hAnsi="Arial" w:hint="default"/>
      </w:rPr>
    </w:lvl>
    <w:lvl w:ilvl="1" w:tplc="CCBAB02E" w:tentative="1">
      <w:start w:val="1"/>
      <w:numFmt w:val="bullet"/>
      <w:lvlText w:val="•"/>
      <w:lvlJc w:val="left"/>
      <w:pPr>
        <w:tabs>
          <w:tab w:val="num" w:pos="1440"/>
        </w:tabs>
        <w:ind w:left="1440" w:hanging="360"/>
      </w:pPr>
      <w:rPr>
        <w:rFonts w:ascii="Arial" w:hAnsi="Arial" w:hint="default"/>
      </w:rPr>
    </w:lvl>
    <w:lvl w:ilvl="2" w:tplc="81843CE4" w:tentative="1">
      <w:start w:val="1"/>
      <w:numFmt w:val="bullet"/>
      <w:lvlText w:val="•"/>
      <w:lvlJc w:val="left"/>
      <w:pPr>
        <w:tabs>
          <w:tab w:val="num" w:pos="2160"/>
        </w:tabs>
        <w:ind w:left="2160" w:hanging="360"/>
      </w:pPr>
      <w:rPr>
        <w:rFonts w:ascii="Arial" w:hAnsi="Arial" w:hint="default"/>
      </w:rPr>
    </w:lvl>
    <w:lvl w:ilvl="3" w:tplc="84507E10" w:tentative="1">
      <w:start w:val="1"/>
      <w:numFmt w:val="bullet"/>
      <w:lvlText w:val="•"/>
      <w:lvlJc w:val="left"/>
      <w:pPr>
        <w:tabs>
          <w:tab w:val="num" w:pos="2880"/>
        </w:tabs>
        <w:ind w:left="2880" w:hanging="360"/>
      </w:pPr>
      <w:rPr>
        <w:rFonts w:ascii="Arial" w:hAnsi="Arial" w:hint="default"/>
      </w:rPr>
    </w:lvl>
    <w:lvl w:ilvl="4" w:tplc="93CED1D2" w:tentative="1">
      <w:start w:val="1"/>
      <w:numFmt w:val="bullet"/>
      <w:lvlText w:val="•"/>
      <w:lvlJc w:val="left"/>
      <w:pPr>
        <w:tabs>
          <w:tab w:val="num" w:pos="3600"/>
        </w:tabs>
        <w:ind w:left="3600" w:hanging="360"/>
      </w:pPr>
      <w:rPr>
        <w:rFonts w:ascii="Arial" w:hAnsi="Arial" w:hint="default"/>
      </w:rPr>
    </w:lvl>
    <w:lvl w:ilvl="5" w:tplc="0C86E62A" w:tentative="1">
      <w:start w:val="1"/>
      <w:numFmt w:val="bullet"/>
      <w:lvlText w:val="•"/>
      <w:lvlJc w:val="left"/>
      <w:pPr>
        <w:tabs>
          <w:tab w:val="num" w:pos="4320"/>
        </w:tabs>
        <w:ind w:left="4320" w:hanging="360"/>
      </w:pPr>
      <w:rPr>
        <w:rFonts w:ascii="Arial" w:hAnsi="Arial" w:hint="default"/>
      </w:rPr>
    </w:lvl>
    <w:lvl w:ilvl="6" w:tplc="995A8B94" w:tentative="1">
      <w:start w:val="1"/>
      <w:numFmt w:val="bullet"/>
      <w:lvlText w:val="•"/>
      <w:lvlJc w:val="left"/>
      <w:pPr>
        <w:tabs>
          <w:tab w:val="num" w:pos="5040"/>
        </w:tabs>
        <w:ind w:left="5040" w:hanging="360"/>
      </w:pPr>
      <w:rPr>
        <w:rFonts w:ascii="Arial" w:hAnsi="Arial" w:hint="default"/>
      </w:rPr>
    </w:lvl>
    <w:lvl w:ilvl="7" w:tplc="4922FFB4" w:tentative="1">
      <w:start w:val="1"/>
      <w:numFmt w:val="bullet"/>
      <w:lvlText w:val="•"/>
      <w:lvlJc w:val="left"/>
      <w:pPr>
        <w:tabs>
          <w:tab w:val="num" w:pos="5760"/>
        </w:tabs>
        <w:ind w:left="5760" w:hanging="360"/>
      </w:pPr>
      <w:rPr>
        <w:rFonts w:ascii="Arial" w:hAnsi="Arial" w:hint="default"/>
      </w:rPr>
    </w:lvl>
    <w:lvl w:ilvl="8" w:tplc="6922BB4C"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77178E5"/>
    <w:multiLevelType w:val="hybridMultilevel"/>
    <w:tmpl w:val="9D288DE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36"/>
  </w:num>
  <w:num w:numId="3">
    <w:abstractNumId w:val="7"/>
  </w:num>
  <w:num w:numId="4">
    <w:abstractNumId w:val="26"/>
  </w:num>
  <w:num w:numId="5">
    <w:abstractNumId w:val="38"/>
  </w:num>
  <w:num w:numId="6">
    <w:abstractNumId w:val="16"/>
  </w:num>
  <w:num w:numId="7">
    <w:abstractNumId w:val="5"/>
  </w:num>
  <w:num w:numId="8">
    <w:abstractNumId w:val="15"/>
  </w:num>
  <w:num w:numId="9">
    <w:abstractNumId w:val="4"/>
  </w:num>
  <w:num w:numId="10">
    <w:abstractNumId w:val="21"/>
  </w:num>
  <w:num w:numId="11">
    <w:abstractNumId w:val="2"/>
  </w:num>
  <w:num w:numId="12">
    <w:abstractNumId w:val="6"/>
  </w:num>
  <w:num w:numId="13">
    <w:abstractNumId w:val="1"/>
  </w:num>
  <w:num w:numId="14">
    <w:abstractNumId w:val="37"/>
  </w:num>
  <w:num w:numId="15">
    <w:abstractNumId w:val="10"/>
  </w:num>
  <w:num w:numId="16">
    <w:abstractNumId w:val="0"/>
  </w:num>
  <w:num w:numId="17">
    <w:abstractNumId w:val="31"/>
  </w:num>
  <w:num w:numId="18">
    <w:abstractNumId w:val="9"/>
  </w:num>
  <w:num w:numId="19">
    <w:abstractNumId w:val="39"/>
  </w:num>
  <w:num w:numId="20">
    <w:abstractNumId w:val="24"/>
  </w:num>
  <w:num w:numId="21">
    <w:abstractNumId w:val="12"/>
  </w:num>
  <w:num w:numId="22">
    <w:abstractNumId w:val="19"/>
  </w:num>
  <w:num w:numId="23">
    <w:abstractNumId w:val="40"/>
  </w:num>
  <w:num w:numId="24">
    <w:abstractNumId w:val="27"/>
  </w:num>
  <w:num w:numId="25">
    <w:abstractNumId w:val="18"/>
  </w:num>
  <w:num w:numId="26">
    <w:abstractNumId w:val="22"/>
  </w:num>
  <w:num w:numId="27">
    <w:abstractNumId w:val="32"/>
  </w:num>
  <w:num w:numId="28">
    <w:abstractNumId w:val="23"/>
  </w:num>
  <w:num w:numId="29">
    <w:abstractNumId w:val="30"/>
  </w:num>
  <w:num w:numId="30">
    <w:abstractNumId w:val="17"/>
  </w:num>
  <w:num w:numId="31">
    <w:abstractNumId w:val="33"/>
  </w:num>
  <w:num w:numId="32">
    <w:abstractNumId w:val="8"/>
  </w:num>
  <w:num w:numId="33">
    <w:abstractNumId w:val="13"/>
  </w:num>
  <w:num w:numId="34">
    <w:abstractNumId w:val="20"/>
  </w:num>
  <w:num w:numId="35">
    <w:abstractNumId w:val="14"/>
  </w:num>
  <w:num w:numId="36">
    <w:abstractNumId w:val="3"/>
  </w:num>
  <w:num w:numId="37">
    <w:abstractNumId w:val="11"/>
  </w:num>
  <w:num w:numId="38">
    <w:abstractNumId w:val="35"/>
  </w:num>
  <w:num w:numId="39">
    <w:abstractNumId w:val="28"/>
  </w:num>
  <w:num w:numId="40">
    <w:abstractNumId w:val="29"/>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92"/>
    <w:rsid w:val="00000826"/>
    <w:rsid w:val="0000088F"/>
    <w:rsid w:val="00004670"/>
    <w:rsid w:val="00006897"/>
    <w:rsid w:val="00015BB8"/>
    <w:rsid w:val="00020E4D"/>
    <w:rsid w:val="000236E7"/>
    <w:rsid w:val="00046508"/>
    <w:rsid w:val="00052D98"/>
    <w:rsid w:val="000623AA"/>
    <w:rsid w:val="000655C6"/>
    <w:rsid w:val="00071BA2"/>
    <w:rsid w:val="000F08B4"/>
    <w:rsid w:val="000F0FA3"/>
    <w:rsid w:val="000F64F4"/>
    <w:rsid w:val="00131299"/>
    <w:rsid w:val="00152ABB"/>
    <w:rsid w:val="00167EF2"/>
    <w:rsid w:val="001708F8"/>
    <w:rsid w:val="00171BBC"/>
    <w:rsid w:val="001A2F4A"/>
    <w:rsid w:val="001B0D0A"/>
    <w:rsid w:val="001B5425"/>
    <w:rsid w:val="001C2D7A"/>
    <w:rsid w:val="001C49FF"/>
    <w:rsid w:val="001C7D3B"/>
    <w:rsid w:val="001E69F5"/>
    <w:rsid w:val="0020618D"/>
    <w:rsid w:val="0021730D"/>
    <w:rsid w:val="00230D1D"/>
    <w:rsid w:val="0023540B"/>
    <w:rsid w:val="00242192"/>
    <w:rsid w:val="0025016C"/>
    <w:rsid w:val="002611C7"/>
    <w:rsid w:val="00287D0E"/>
    <w:rsid w:val="002A7E9C"/>
    <w:rsid w:val="002B0811"/>
    <w:rsid w:val="002C5BBE"/>
    <w:rsid w:val="002D2C35"/>
    <w:rsid w:val="002E7D7F"/>
    <w:rsid w:val="0033535F"/>
    <w:rsid w:val="003408BD"/>
    <w:rsid w:val="00342123"/>
    <w:rsid w:val="00347855"/>
    <w:rsid w:val="00352C2F"/>
    <w:rsid w:val="00377EA7"/>
    <w:rsid w:val="00380F65"/>
    <w:rsid w:val="00381E0C"/>
    <w:rsid w:val="00396D4F"/>
    <w:rsid w:val="003A5F18"/>
    <w:rsid w:val="003B548C"/>
    <w:rsid w:val="003C0E52"/>
    <w:rsid w:val="00401553"/>
    <w:rsid w:val="00414FD0"/>
    <w:rsid w:val="004437BB"/>
    <w:rsid w:val="00443B06"/>
    <w:rsid w:val="00447D49"/>
    <w:rsid w:val="004606C1"/>
    <w:rsid w:val="0047327B"/>
    <w:rsid w:val="004D1B68"/>
    <w:rsid w:val="004E257B"/>
    <w:rsid w:val="004F4F3C"/>
    <w:rsid w:val="00507C5F"/>
    <w:rsid w:val="0052204A"/>
    <w:rsid w:val="005314A6"/>
    <w:rsid w:val="00552405"/>
    <w:rsid w:val="00553809"/>
    <w:rsid w:val="00570AB5"/>
    <w:rsid w:val="0058183C"/>
    <w:rsid w:val="00582544"/>
    <w:rsid w:val="00590605"/>
    <w:rsid w:val="005B527B"/>
    <w:rsid w:val="00605994"/>
    <w:rsid w:val="00632BCE"/>
    <w:rsid w:val="0063641F"/>
    <w:rsid w:val="00644753"/>
    <w:rsid w:val="0064695B"/>
    <w:rsid w:val="00652A5C"/>
    <w:rsid w:val="00660EA1"/>
    <w:rsid w:val="00674811"/>
    <w:rsid w:val="0067757F"/>
    <w:rsid w:val="00690C40"/>
    <w:rsid w:val="006B1909"/>
    <w:rsid w:val="006B4AAB"/>
    <w:rsid w:val="006E3461"/>
    <w:rsid w:val="006E3701"/>
    <w:rsid w:val="006F2295"/>
    <w:rsid w:val="006F299A"/>
    <w:rsid w:val="00722444"/>
    <w:rsid w:val="00731B32"/>
    <w:rsid w:val="00734977"/>
    <w:rsid w:val="00736549"/>
    <w:rsid w:val="007556ED"/>
    <w:rsid w:val="007617A7"/>
    <w:rsid w:val="00772F18"/>
    <w:rsid w:val="0078558F"/>
    <w:rsid w:val="007C3394"/>
    <w:rsid w:val="007D483E"/>
    <w:rsid w:val="007E0010"/>
    <w:rsid w:val="00805345"/>
    <w:rsid w:val="00816A82"/>
    <w:rsid w:val="00864AF8"/>
    <w:rsid w:val="008703C9"/>
    <w:rsid w:val="008765E9"/>
    <w:rsid w:val="008818F6"/>
    <w:rsid w:val="008872E6"/>
    <w:rsid w:val="00890AF7"/>
    <w:rsid w:val="008A2605"/>
    <w:rsid w:val="008A510A"/>
    <w:rsid w:val="008B45C6"/>
    <w:rsid w:val="008B5ACA"/>
    <w:rsid w:val="008B6139"/>
    <w:rsid w:val="00901D52"/>
    <w:rsid w:val="009024C7"/>
    <w:rsid w:val="009046A3"/>
    <w:rsid w:val="00906EAC"/>
    <w:rsid w:val="009112A8"/>
    <w:rsid w:val="009334E0"/>
    <w:rsid w:val="00950E4D"/>
    <w:rsid w:val="009627D9"/>
    <w:rsid w:val="00997FF5"/>
    <w:rsid w:val="009C3B16"/>
    <w:rsid w:val="009D1DCF"/>
    <w:rsid w:val="009E5461"/>
    <w:rsid w:val="009E5A72"/>
    <w:rsid w:val="009F1177"/>
    <w:rsid w:val="00A11C2F"/>
    <w:rsid w:val="00A16F47"/>
    <w:rsid w:val="00A24D5F"/>
    <w:rsid w:val="00A56591"/>
    <w:rsid w:val="00A97E9C"/>
    <w:rsid w:val="00AA1A78"/>
    <w:rsid w:val="00AA607E"/>
    <w:rsid w:val="00AB22DD"/>
    <w:rsid w:val="00AB3F7B"/>
    <w:rsid w:val="00AB645C"/>
    <w:rsid w:val="00AC5633"/>
    <w:rsid w:val="00AE3787"/>
    <w:rsid w:val="00AE3B73"/>
    <w:rsid w:val="00AF3E91"/>
    <w:rsid w:val="00B07784"/>
    <w:rsid w:val="00B25536"/>
    <w:rsid w:val="00B267FF"/>
    <w:rsid w:val="00B37C12"/>
    <w:rsid w:val="00B42901"/>
    <w:rsid w:val="00B55763"/>
    <w:rsid w:val="00B64029"/>
    <w:rsid w:val="00B648AB"/>
    <w:rsid w:val="00B76D25"/>
    <w:rsid w:val="00B9362F"/>
    <w:rsid w:val="00BA3EF1"/>
    <w:rsid w:val="00C11982"/>
    <w:rsid w:val="00C17AA5"/>
    <w:rsid w:val="00C216C6"/>
    <w:rsid w:val="00C318D7"/>
    <w:rsid w:val="00C50175"/>
    <w:rsid w:val="00C60972"/>
    <w:rsid w:val="00C67457"/>
    <w:rsid w:val="00C722CA"/>
    <w:rsid w:val="00CA40AE"/>
    <w:rsid w:val="00CB7CDF"/>
    <w:rsid w:val="00CC19B7"/>
    <w:rsid w:val="00CC644D"/>
    <w:rsid w:val="00CD0733"/>
    <w:rsid w:val="00CE0C23"/>
    <w:rsid w:val="00CF0439"/>
    <w:rsid w:val="00CF21F2"/>
    <w:rsid w:val="00D00688"/>
    <w:rsid w:val="00D008A9"/>
    <w:rsid w:val="00D06CA1"/>
    <w:rsid w:val="00D27766"/>
    <w:rsid w:val="00D3024F"/>
    <w:rsid w:val="00D42EC1"/>
    <w:rsid w:val="00D458ED"/>
    <w:rsid w:val="00D52F31"/>
    <w:rsid w:val="00D7242C"/>
    <w:rsid w:val="00DA3825"/>
    <w:rsid w:val="00DB22F7"/>
    <w:rsid w:val="00DB2C38"/>
    <w:rsid w:val="00E01EE4"/>
    <w:rsid w:val="00E23E2C"/>
    <w:rsid w:val="00E3011A"/>
    <w:rsid w:val="00E3249E"/>
    <w:rsid w:val="00E333FD"/>
    <w:rsid w:val="00E349D3"/>
    <w:rsid w:val="00E85CB9"/>
    <w:rsid w:val="00EA2069"/>
    <w:rsid w:val="00EB2B16"/>
    <w:rsid w:val="00EC5437"/>
    <w:rsid w:val="00EF60E8"/>
    <w:rsid w:val="00F017C6"/>
    <w:rsid w:val="00F15426"/>
    <w:rsid w:val="00F214A7"/>
    <w:rsid w:val="00FA7307"/>
    <w:rsid w:val="00FB5AF4"/>
    <w:rsid w:val="00FD15B3"/>
    <w:rsid w:val="00FD4F59"/>
    <w:rsid w:val="00FE71B5"/>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42CA"/>
  <w15:docId w15:val="{795A1823-3526-4C00-B6F5-E2A230FB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784"/>
    <w:rPr>
      <w:sz w:val="24"/>
      <w:szCs w:val="24"/>
      <w:lang w:eastAsia="en-US"/>
    </w:rPr>
  </w:style>
  <w:style w:type="paragraph" w:styleId="Heading1">
    <w:name w:val="heading 1"/>
    <w:basedOn w:val="Normal"/>
    <w:next w:val="Normal"/>
    <w:link w:val="Heading1Char"/>
    <w:qFormat/>
    <w:rsid w:val="00C50175"/>
    <w:pPr>
      <w:keepNext/>
      <w:numPr>
        <w:numId w:val="15"/>
      </w:numPr>
      <w:spacing w:before="240" w:after="60"/>
      <w:outlineLvl w:val="0"/>
    </w:pPr>
    <w:rPr>
      <w:rFonts w:eastAsia="Times New Roman"/>
      <w:b/>
      <w:bCs/>
      <w:kern w:val="32"/>
      <w:sz w:val="32"/>
      <w:szCs w:val="32"/>
      <w:lang w:eastAsia="en-GB"/>
    </w:rPr>
  </w:style>
  <w:style w:type="paragraph" w:styleId="Heading2">
    <w:name w:val="heading 2"/>
    <w:basedOn w:val="Normal"/>
    <w:next w:val="Normal"/>
    <w:link w:val="Heading2Char"/>
    <w:qFormat/>
    <w:rsid w:val="00C50175"/>
    <w:pPr>
      <w:keepNext/>
      <w:numPr>
        <w:ilvl w:val="1"/>
        <w:numId w:val="15"/>
      </w:numPr>
      <w:spacing w:before="240" w:after="60"/>
      <w:outlineLvl w:val="1"/>
    </w:pPr>
    <w:rPr>
      <w:rFonts w:eastAsia="Times New Roman"/>
      <w:b/>
      <w:bCs/>
      <w:i/>
      <w:iCs/>
      <w:sz w:val="28"/>
      <w:szCs w:val="28"/>
      <w:lang w:eastAsia="en-GB"/>
    </w:rPr>
  </w:style>
  <w:style w:type="paragraph" w:styleId="Heading3">
    <w:name w:val="heading 3"/>
    <w:basedOn w:val="Normal"/>
    <w:next w:val="Normal"/>
    <w:link w:val="Heading3Char"/>
    <w:qFormat/>
    <w:rsid w:val="00C50175"/>
    <w:pPr>
      <w:keepNext/>
      <w:numPr>
        <w:ilvl w:val="2"/>
        <w:numId w:val="15"/>
      </w:numPr>
      <w:spacing w:before="240" w:after="60"/>
      <w:outlineLvl w:val="2"/>
    </w:pPr>
    <w:rPr>
      <w:rFonts w:eastAsia="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192"/>
    <w:rPr>
      <w:rFonts w:ascii="Tahoma" w:hAnsi="Tahoma" w:cs="Tahoma"/>
      <w:sz w:val="16"/>
      <w:szCs w:val="16"/>
    </w:rPr>
  </w:style>
  <w:style w:type="character" w:customStyle="1" w:styleId="BalloonTextChar">
    <w:name w:val="Balloon Text Char"/>
    <w:link w:val="BalloonText"/>
    <w:uiPriority w:val="99"/>
    <w:semiHidden/>
    <w:rsid w:val="00242192"/>
    <w:rPr>
      <w:rFonts w:ascii="Tahoma" w:hAnsi="Tahoma" w:cs="Tahoma"/>
      <w:sz w:val="16"/>
      <w:szCs w:val="16"/>
    </w:rPr>
  </w:style>
  <w:style w:type="paragraph" w:styleId="ListParagraph">
    <w:name w:val="List Paragraph"/>
    <w:basedOn w:val="Normal"/>
    <w:uiPriority w:val="34"/>
    <w:qFormat/>
    <w:rsid w:val="002611C7"/>
    <w:pPr>
      <w:ind w:left="720"/>
      <w:contextualSpacing/>
    </w:pPr>
  </w:style>
  <w:style w:type="character" w:styleId="CommentReference">
    <w:name w:val="annotation reference"/>
    <w:semiHidden/>
    <w:rsid w:val="00C722CA"/>
    <w:rPr>
      <w:sz w:val="16"/>
      <w:szCs w:val="16"/>
    </w:rPr>
  </w:style>
  <w:style w:type="paragraph" w:styleId="CommentText">
    <w:name w:val="annotation text"/>
    <w:basedOn w:val="Normal"/>
    <w:link w:val="CommentTextChar"/>
    <w:uiPriority w:val="99"/>
    <w:unhideWhenUsed/>
    <w:rsid w:val="006E3461"/>
    <w:rPr>
      <w:sz w:val="20"/>
      <w:szCs w:val="20"/>
    </w:rPr>
  </w:style>
  <w:style w:type="character" w:customStyle="1" w:styleId="CommentTextChar">
    <w:name w:val="Comment Text Char"/>
    <w:link w:val="CommentText"/>
    <w:uiPriority w:val="99"/>
    <w:rsid w:val="006E3461"/>
    <w:rPr>
      <w:sz w:val="20"/>
      <w:szCs w:val="20"/>
    </w:rPr>
  </w:style>
  <w:style w:type="paragraph" w:styleId="CommentSubject">
    <w:name w:val="annotation subject"/>
    <w:basedOn w:val="CommentText"/>
    <w:next w:val="CommentText"/>
    <w:link w:val="CommentSubjectChar"/>
    <w:uiPriority w:val="99"/>
    <w:semiHidden/>
    <w:unhideWhenUsed/>
    <w:rsid w:val="006E3461"/>
    <w:rPr>
      <w:b/>
      <w:bCs/>
    </w:rPr>
  </w:style>
  <w:style w:type="character" w:customStyle="1" w:styleId="CommentSubjectChar">
    <w:name w:val="Comment Subject Char"/>
    <w:link w:val="CommentSubject"/>
    <w:uiPriority w:val="99"/>
    <w:semiHidden/>
    <w:rsid w:val="006E3461"/>
    <w:rPr>
      <w:b/>
      <w:bCs/>
      <w:sz w:val="20"/>
      <w:szCs w:val="20"/>
    </w:rPr>
  </w:style>
  <w:style w:type="character" w:customStyle="1" w:styleId="Heading1Char">
    <w:name w:val="Heading 1 Char"/>
    <w:link w:val="Heading1"/>
    <w:rsid w:val="00C50175"/>
    <w:rPr>
      <w:rFonts w:eastAsia="Times New Roman"/>
      <w:b/>
      <w:bCs/>
      <w:kern w:val="32"/>
      <w:sz w:val="32"/>
      <w:szCs w:val="32"/>
    </w:rPr>
  </w:style>
  <w:style w:type="character" w:customStyle="1" w:styleId="Heading2Char">
    <w:name w:val="Heading 2 Char"/>
    <w:link w:val="Heading2"/>
    <w:rsid w:val="00C50175"/>
    <w:rPr>
      <w:rFonts w:eastAsia="Times New Roman"/>
      <w:b/>
      <w:bCs/>
      <w:i/>
      <w:iCs/>
      <w:sz w:val="28"/>
      <w:szCs w:val="28"/>
    </w:rPr>
  </w:style>
  <w:style w:type="character" w:customStyle="1" w:styleId="Heading3Char">
    <w:name w:val="Heading 3 Char"/>
    <w:link w:val="Heading3"/>
    <w:rsid w:val="00C50175"/>
    <w:rPr>
      <w:rFonts w:eastAsia="Times New Roman"/>
      <w:b/>
      <w:bCs/>
      <w:sz w:val="26"/>
      <w:szCs w:val="26"/>
    </w:rPr>
  </w:style>
  <w:style w:type="paragraph" w:styleId="Header">
    <w:name w:val="header"/>
    <w:basedOn w:val="Normal"/>
    <w:link w:val="HeaderChar"/>
    <w:uiPriority w:val="99"/>
    <w:unhideWhenUsed/>
    <w:rsid w:val="00F017C6"/>
    <w:pPr>
      <w:tabs>
        <w:tab w:val="center" w:pos="4513"/>
        <w:tab w:val="right" w:pos="9026"/>
      </w:tabs>
    </w:pPr>
  </w:style>
  <w:style w:type="character" w:customStyle="1" w:styleId="HeaderChar">
    <w:name w:val="Header Char"/>
    <w:link w:val="Header"/>
    <w:uiPriority w:val="99"/>
    <w:rsid w:val="00F017C6"/>
    <w:rPr>
      <w:sz w:val="24"/>
      <w:szCs w:val="24"/>
      <w:lang w:eastAsia="en-US"/>
    </w:rPr>
  </w:style>
  <w:style w:type="paragraph" w:styleId="Footer">
    <w:name w:val="footer"/>
    <w:basedOn w:val="Normal"/>
    <w:link w:val="FooterChar"/>
    <w:uiPriority w:val="99"/>
    <w:unhideWhenUsed/>
    <w:rsid w:val="00F017C6"/>
    <w:pPr>
      <w:tabs>
        <w:tab w:val="center" w:pos="4513"/>
        <w:tab w:val="right" w:pos="9026"/>
      </w:tabs>
    </w:pPr>
  </w:style>
  <w:style w:type="character" w:customStyle="1" w:styleId="FooterChar">
    <w:name w:val="Footer Char"/>
    <w:link w:val="Footer"/>
    <w:uiPriority w:val="99"/>
    <w:rsid w:val="00F017C6"/>
    <w:rPr>
      <w:sz w:val="24"/>
      <w:szCs w:val="24"/>
      <w:lang w:eastAsia="en-US"/>
    </w:rPr>
  </w:style>
  <w:style w:type="paragraph" w:styleId="FootnoteText">
    <w:name w:val="footnote text"/>
    <w:basedOn w:val="Normal"/>
    <w:link w:val="FootnoteTextChar"/>
    <w:uiPriority w:val="99"/>
    <w:semiHidden/>
    <w:unhideWhenUsed/>
    <w:rsid w:val="00C318D7"/>
    <w:rPr>
      <w:sz w:val="20"/>
      <w:szCs w:val="20"/>
    </w:rPr>
  </w:style>
  <w:style w:type="character" w:customStyle="1" w:styleId="FootnoteTextChar">
    <w:name w:val="Footnote Text Char"/>
    <w:link w:val="FootnoteText"/>
    <w:uiPriority w:val="99"/>
    <w:semiHidden/>
    <w:rsid w:val="00C318D7"/>
    <w:rPr>
      <w:lang w:eastAsia="en-US"/>
    </w:rPr>
  </w:style>
  <w:style w:type="character" w:styleId="FootnoteReference">
    <w:name w:val="footnote reference"/>
    <w:uiPriority w:val="99"/>
    <w:semiHidden/>
    <w:unhideWhenUsed/>
    <w:rsid w:val="00C318D7"/>
    <w:rPr>
      <w:vertAlign w:val="superscript"/>
    </w:rPr>
  </w:style>
  <w:style w:type="character" w:styleId="Hyperlink">
    <w:name w:val="Hyperlink"/>
    <w:uiPriority w:val="99"/>
    <w:unhideWhenUsed/>
    <w:rsid w:val="00C318D7"/>
    <w:rPr>
      <w:color w:val="0000FF"/>
      <w:u w:val="single"/>
    </w:rPr>
  </w:style>
  <w:style w:type="table" w:styleId="TableGrid">
    <w:name w:val="Table Grid"/>
    <w:basedOn w:val="TableNormal"/>
    <w:uiPriority w:val="59"/>
    <w:rsid w:val="00731B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14FD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70473">
      <w:bodyDiv w:val="1"/>
      <w:marLeft w:val="0"/>
      <w:marRight w:val="0"/>
      <w:marTop w:val="0"/>
      <w:marBottom w:val="0"/>
      <w:divBdr>
        <w:top w:val="none" w:sz="0" w:space="0" w:color="auto"/>
        <w:left w:val="none" w:sz="0" w:space="0" w:color="auto"/>
        <w:bottom w:val="none" w:sz="0" w:space="0" w:color="auto"/>
        <w:right w:val="none" w:sz="0" w:space="0" w:color="auto"/>
      </w:divBdr>
    </w:div>
    <w:div w:id="413017388">
      <w:bodyDiv w:val="1"/>
      <w:marLeft w:val="0"/>
      <w:marRight w:val="0"/>
      <w:marTop w:val="0"/>
      <w:marBottom w:val="0"/>
      <w:divBdr>
        <w:top w:val="none" w:sz="0" w:space="0" w:color="auto"/>
        <w:left w:val="none" w:sz="0" w:space="0" w:color="auto"/>
        <w:bottom w:val="none" w:sz="0" w:space="0" w:color="auto"/>
        <w:right w:val="none" w:sz="0" w:space="0" w:color="auto"/>
      </w:divBdr>
    </w:div>
    <w:div w:id="912668658">
      <w:bodyDiv w:val="1"/>
      <w:marLeft w:val="0"/>
      <w:marRight w:val="0"/>
      <w:marTop w:val="0"/>
      <w:marBottom w:val="0"/>
      <w:divBdr>
        <w:top w:val="none" w:sz="0" w:space="0" w:color="auto"/>
        <w:left w:val="none" w:sz="0" w:space="0" w:color="auto"/>
        <w:bottom w:val="none" w:sz="0" w:space="0" w:color="auto"/>
        <w:right w:val="none" w:sz="0" w:space="0" w:color="auto"/>
      </w:divBdr>
    </w:div>
    <w:div w:id="1586649273">
      <w:bodyDiv w:val="1"/>
      <w:marLeft w:val="0"/>
      <w:marRight w:val="0"/>
      <w:marTop w:val="0"/>
      <w:marBottom w:val="0"/>
      <w:divBdr>
        <w:top w:val="none" w:sz="0" w:space="0" w:color="auto"/>
        <w:left w:val="none" w:sz="0" w:space="0" w:color="auto"/>
        <w:bottom w:val="none" w:sz="0" w:space="0" w:color="auto"/>
        <w:right w:val="none" w:sz="0" w:space="0" w:color="auto"/>
      </w:divBdr>
      <w:divsChild>
        <w:div w:id="60562408">
          <w:marLeft w:val="547"/>
          <w:marRight w:val="0"/>
          <w:marTop w:val="106"/>
          <w:marBottom w:val="0"/>
          <w:divBdr>
            <w:top w:val="none" w:sz="0" w:space="0" w:color="auto"/>
            <w:left w:val="none" w:sz="0" w:space="0" w:color="auto"/>
            <w:bottom w:val="none" w:sz="0" w:space="0" w:color="auto"/>
            <w:right w:val="none" w:sz="0" w:space="0" w:color="auto"/>
          </w:divBdr>
        </w:div>
        <w:div w:id="343174309">
          <w:marLeft w:val="547"/>
          <w:marRight w:val="0"/>
          <w:marTop w:val="106"/>
          <w:marBottom w:val="0"/>
          <w:divBdr>
            <w:top w:val="none" w:sz="0" w:space="0" w:color="auto"/>
            <w:left w:val="none" w:sz="0" w:space="0" w:color="auto"/>
            <w:bottom w:val="none" w:sz="0" w:space="0" w:color="auto"/>
            <w:right w:val="none" w:sz="0" w:space="0" w:color="auto"/>
          </w:divBdr>
        </w:div>
        <w:div w:id="825123902">
          <w:marLeft w:val="547"/>
          <w:marRight w:val="0"/>
          <w:marTop w:val="106"/>
          <w:marBottom w:val="0"/>
          <w:divBdr>
            <w:top w:val="none" w:sz="0" w:space="0" w:color="auto"/>
            <w:left w:val="none" w:sz="0" w:space="0" w:color="auto"/>
            <w:bottom w:val="none" w:sz="0" w:space="0" w:color="auto"/>
            <w:right w:val="none" w:sz="0" w:space="0" w:color="auto"/>
          </w:divBdr>
        </w:div>
        <w:div w:id="899100488">
          <w:marLeft w:val="547"/>
          <w:marRight w:val="0"/>
          <w:marTop w:val="106"/>
          <w:marBottom w:val="0"/>
          <w:divBdr>
            <w:top w:val="none" w:sz="0" w:space="0" w:color="auto"/>
            <w:left w:val="none" w:sz="0" w:space="0" w:color="auto"/>
            <w:bottom w:val="none" w:sz="0" w:space="0" w:color="auto"/>
            <w:right w:val="none" w:sz="0" w:space="0" w:color="auto"/>
          </w:divBdr>
        </w:div>
        <w:div w:id="1105150538">
          <w:marLeft w:val="547"/>
          <w:marRight w:val="0"/>
          <w:marTop w:val="106"/>
          <w:marBottom w:val="0"/>
          <w:divBdr>
            <w:top w:val="none" w:sz="0" w:space="0" w:color="auto"/>
            <w:left w:val="none" w:sz="0" w:space="0" w:color="auto"/>
            <w:bottom w:val="none" w:sz="0" w:space="0" w:color="auto"/>
            <w:right w:val="none" w:sz="0" w:space="0" w:color="auto"/>
          </w:divBdr>
        </w:div>
        <w:div w:id="1291201705">
          <w:marLeft w:val="547"/>
          <w:marRight w:val="0"/>
          <w:marTop w:val="106"/>
          <w:marBottom w:val="0"/>
          <w:divBdr>
            <w:top w:val="none" w:sz="0" w:space="0" w:color="auto"/>
            <w:left w:val="none" w:sz="0" w:space="0" w:color="auto"/>
            <w:bottom w:val="none" w:sz="0" w:space="0" w:color="auto"/>
            <w:right w:val="none" w:sz="0" w:space="0" w:color="auto"/>
          </w:divBdr>
        </w:div>
        <w:div w:id="1586526622">
          <w:marLeft w:val="547"/>
          <w:marRight w:val="0"/>
          <w:marTop w:val="106"/>
          <w:marBottom w:val="0"/>
          <w:divBdr>
            <w:top w:val="none" w:sz="0" w:space="0" w:color="auto"/>
            <w:left w:val="none" w:sz="0" w:space="0" w:color="auto"/>
            <w:bottom w:val="none" w:sz="0" w:space="0" w:color="auto"/>
            <w:right w:val="none" w:sz="0" w:space="0" w:color="auto"/>
          </w:divBdr>
        </w:div>
        <w:div w:id="1609963648">
          <w:marLeft w:val="547"/>
          <w:marRight w:val="0"/>
          <w:marTop w:val="106"/>
          <w:marBottom w:val="0"/>
          <w:divBdr>
            <w:top w:val="none" w:sz="0" w:space="0" w:color="auto"/>
            <w:left w:val="none" w:sz="0" w:space="0" w:color="auto"/>
            <w:bottom w:val="none" w:sz="0" w:space="0" w:color="auto"/>
            <w:right w:val="none" w:sz="0" w:space="0" w:color="auto"/>
          </w:divBdr>
        </w:div>
        <w:div w:id="1691371789">
          <w:marLeft w:val="547"/>
          <w:marRight w:val="0"/>
          <w:marTop w:val="106"/>
          <w:marBottom w:val="0"/>
          <w:divBdr>
            <w:top w:val="none" w:sz="0" w:space="0" w:color="auto"/>
            <w:left w:val="none" w:sz="0" w:space="0" w:color="auto"/>
            <w:bottom w:val="none" w:sz="0" w:space="0" w:color="auto"/>
            <w:right w:val="none" w:sz="0" w:space="0" w:color="auto"/>
          </w:divBdr>
        </w:div>
        <w:div w:id="1833645023">
          <w:marLeft w:val="547"/>
          <w:marRight w:val="0"/>
          <w:marTop w:val="106"/>
          <w:marBottom w:val="0"/>
          <w:divBdr>
            <w:top w:val="none" w:sz="0" w:space="0" w:color="auto"/>
            <w:left w:val="none" w:sz="0" w:space="0" w:color="auto"/>
            <w:bottom w:val="none" w:sz="0" w:space="0" w:color="auto"/>
            <w:right w:val="none" w:sz="0" w:space="0" w:color="auto"/>
          </w:divBdr>
        </w:div>
      </w:divsChild>
    </w:div>
    <w:div w:id="188706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D801-BA02-42C7-8C10-C5831094C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HPA</Company>
  <LinksUpToDate>false</LinksUpToDate>
  <CharactersWithSpaces>9261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Iain.Mallett</dc:creator>
  <cp:lastModifiedBy>Pearce, Julia</cp:lastModifiedBy>
  <cp:revision>3</cp:revision>
  <cp:lastPrinted>2012-02-10T11:13:00Z</cp:lastPrinted>
  <dcterms:created xsi:type="dcterms:W3CDTF">2017-09-22T16:23:00Z</dcterms:created>
  <dcterms:modified xsi:type="dcterms:W3CDTF">2017-09-22T16:25:00Z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